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D5957" w14:textId="77777777" w:rsidR="001E4BF3" w:rsidRPr="009231A5" w:rsidRDefault="001E4BF3" w:rsidP="00E64DDA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«УТВЕРЖДЕНА»</w:t>
      </w:r>
    </w:p>
    <w:p w14:paraId="77592915" w14:textId="77777777" w:rsidR="001E4BF3" w:rsidRPr="009231A5" w:rsidRDefault="001E4BF3" w:rsidP="00E64DDA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решением Совета директоров</w:t>
      </w:r>
    </w:p>
    <w:p w14:paraId="3289F999" w14:textId="6CFBE6B5" w:rsidR="001E4BF3" w:rsidRPr="009231A5" w:rsidRDefault="00E64DDA" w:rsidP="00E64DDA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АО «Полипласт»</w:t>
      </w:r>
    </w:p>
    <w:p w14:paraId="72393CDE" w14:textId="73030A2C" w:rsidR="001E4BF3" w:rsidRPr="00E21D80" w:rsidRDefault="001E4BF3" w:rsidP="00E64DDA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94102">
        <w:rPr>
          <w:rFonts w:ascii="Times New Roman" w:hAnsi="Times New Roman" w:cs="Times New Roman"/>
          <w:sz w:val="24"/>
          <w:szCs w:val="24"/>
        </w:rPr>
        <w:t xml:space="preserve">№ </w:t>
      </w:r>
      <w:r w:rsidR="00E21D80" w:rsidRPr="00E21D80">
        <w:rPr>
          <w:rFonts w:ascii="Times New Roman" w:hAnsi="Times New Roman" w:cs="Times New Roman"/>
          <w:sz w:val="24"/>
          <w:szCs w:val="24"/>
        </w:rPr>
        <w:t>1</w:t>
      </w:r>
      <w:r w:rsidR="00394102">
        <w:rPr>
          <w:rFonts w:ascii="Times New Roman" w:hAnsi="Times New Roman" w:cs="Times New Roman"/>
          <w:sz w:val="24"/>
          <w:szCs w:val="24"/>
        </w:rPr>
        <w:t xml:space="preserve"> от </w:t>
      </w:r>
      <w:r w:rsidR="00E21D80">
        <w:rPr>
          <w:rFonts w:ascii="Times New Roman" w:hAnsi="Times New Roman" w:cs="Times New Roman"/>
          <w:sz w:val="24"/>
          <w:szCs w:val="24"/>
        </w:rPr>
        <w:t>20.08.2020</w:t>
      </w:r>
    </w:p>
    <w:p w14:paraId="18E10C22" w14:textId="77777777" w:rsidR="001E4BF3" w:rsidRPr="009231A5" w:rsidRDefault="001E4BF3" w:rsidP="001E4BF3">
      <w:pPr>
        <w:rPr>
          <w:rFonts w:ascii="Times New Roman" w:hAnsi="Times New Roman" w:cs="Times New Roman"/>
          <w:sz w:val="24"/>
          <w:szCs w:val="24"/>
        </w:rPr>
      </w:pPr>
    </w:p>
    <w:p w14:paraId="0C9B3505" w14:textId="16CEA7E4" w:rsidR="001E4BF3" w:rsidRPr="009231A5" w:rsidRDefault="001E4BF3" w:rsidP="00E64D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1A5">
        <w:rPr>
          <w:rFonts w:ascii="Times New Roman" w:hAnsi="Times New Roman" w:cs="Times New Roman"/>
          <w:b/>
          <w:bCs/>
          <w:sz w:val="24"/>
          <w:szCs w:val="24"/>
        </w:rPr>
        <w:t>ПОЛИТИКА ПО УПРАВЛЕНИЮ РИСКАМИ</w:t>
      </w:r>
    </w:p>
    <w:p w14:paraId="394DAAED" w14:textId="49DD591F" w:rsidR="001E4BF3" w:rsidRPr="009231A5" w:rsidRDefault="009231A5" w:rsidP="00923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1A5">
        <w:rPr>
          <w:rFonts w:ascii="Times New Roman" w:hAnsi="Times New Roman" w:cs="Times New Roman"/>
          <w:b/>
          <w:bCs/>
          <w:sz w:val="24"/>
          <w:szCs w:val="24"/>
        </w:rPr>
        <w:t>Группы компаний «Полипласт»</w:t>
      </w:r>
    </w:p>
    <w:p w14:paraId="5485C66D" w14:textId="77777777" w:rsidR="001E4BF3" w:rsidRPr="009231A5" w:rsidRDefault="001E4BF3" w:rsidP="001E4BF3">
      <w:pPr>
        <w:rPr>
          <w:rFonts w:ascii="Times New Roman" w:hAnsi="Times New Roman" w:cs="Times New Roman"/>
          <w:sz w:val="24"/>
          <w:szCs w:val="24"/>
        </w:rPr>
      </w:pPr>
    </w:p>
    <w:p w14:paraId="30A8185D" w14:textId="77777777" w:rsidR="001E4BF3" w:rsidRPr="009231A5" w:rsidRDefault="001E4BF3" w:rsidP="001E4BF3">
      <w:pPr>
        <w:rPr>
          <w:rFonts w:ascii="Times New Roman" w:hAnsi="Times New Roman" w:cs="Times New Roman"/>
          <w:sz w:val="24"/>
          <w:szCs w:val="24"/>
        </w:rPr>
      </w:pPr>
    </w:p>
    <w:p w14:paraId="3BBB8346" w14:textId="77777777" w:rsidR="001E4BF3" w:rsidRPr="00A9748A" w:rsidRDefault="001E4BF3" w:rsidP="001E4B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748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D8AA830" w14:textId="25B44C73" w:rsidR="001E4BF3" w:rsidRPr="009231A5" w:rsidRDefault="001E4BF3" w:rsidP="009231A5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1.1. Настоящая Политика по управлению рисками </w:t>
      </w:r>
      <w:r w:rsidR="009231A5" w:rsidRPr="009231A5">
        <w:rPr>
          <w:rFonts w:ascii="Times New Roman" w:hAnsi="Times New Roman" w:cs="Times New Roman"/>
          <w:sz w:val="24"/>
          <w:szCs w:val="24"/>
        </w:rPr>
        <w:t>Группы компаний «Полипласт»</w:t>
      </w:r>
      <w:r w:rsidRPr="009231A5">
        <w:rPr>
          <w:rFonts w:ascii="Times New Roman" w:hAnsi="Times New Roman" w:cs="Times New Roman"/>
          <w:sz w:val="24"/>
          <w:szCs w:val="24"/>
        </w:rPr>
        <w:t xml:space="preserve"> (далее – Политика)</w:t>
      </w:r>
      <w:r w:rsidR="009231A5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определяет цели, задачи, принципы и методы управления рисками, а также</w:t>
      </w:r>
      <w:r w:rsidR="009231A5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организацию управления рисками в </w:t>
      </w:r>
      <w:r w:rsidR="009231A5">
        <w:rPr>
          <w:rFonts w:ascii="Times New Roman" w:hAnsi="Times New Roman" w:cs="Times New Roman"/>
          <w:sz w:val="24"/>
          <w:szCs w:val="24"/>
        </w:rPr>
        <w:t>Группе компаний «Полипласт»</w:t>
      </w:r>
      <w:r w:rsidRPr="009231A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231A5" w:rsidRPr="009231A5">
        <w:rPr>
          <w:rFonts w:ascii="Times New Roman" w:hAnsi="Times New Roman" w:cs="Times New Roman"/>
          <w:sz w:val="24"/>
          <w:szCs w:val="24"/>
        </w:rPr>
        <w:t>Компани</w:t>
      </w:r>
      <w:r w:rsidR="009231A5">
        <w:rPr>
          <w:rFonts w:ascii="Times New Roman" w:hAnsi="Times New Roman" w:cs="Times New Roman"/>
          <w:sz w:val="24"/>
          <w:szCs w:val="24"/>
        </w:rPr>
        <w:t>я</w:t>
      </w:r>
      <w:r w:rsidRPr="009231A5">
        <w:rPr>
          <w:rFonts w:ascii="Times New Roman" w:hAnsi="Times New Roman" w:cs="Times New Roman"/>
          <w:sz w:val="24"/>
          <w:szCs w:val="24"/>
        </w:rPr>
        <w:t>).</w:t>
      </w:r>
    </w:p>
    <w:p w14:paraId="22EA0834" w14:textId="6678ABEA" w:rsidR="001E4BF3" w:rsidRPr="009231A5" w:rsidRDefault="001E4BF3" w:rsidP="009231A5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1.2. Предусмотренные Политикой подходы к управлению рисками </w:t>
      </w:r>
      <w:r w:rsidR="005244E7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9231A5">
        <w:rPr>
          <w:rFonts w:ascii="Times New Roman" w:hAnsi="Times New Roman" w:cs="Times New Roman"/>
          <w:sz w:val="24"/>
          <w:szCs w:val="24"/>
        </w:rPr>
        <w:t>соответствует принципам, изложенным в международных стандартах по управлению</w:t>
      </w:r>
      <w:r w:rsidR="005244E7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рисками ISO 31000:2009 и </w:t>
      </w:r>
      <w:proofErr w:type="gramStart"/>
      <w:r w:rsidRPr="009231A5">
        <w:rPr>
          <w:rFonts w:ascii="Times New Roman" w:hAnsi="Times New Roman" w:cs="Times New Roman"/>
          <w:sz w:val="24"/>
          <w:szCs w:val="24"/>
        </w:rPr>
        <w:t>COSO:ERM</w:t>
      </w:r>
      <w:proofErr w:type="gramEnd"/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43CC587A" w14:textId="61B6895D" w:rsidR="001E4BF3" w:rsidRPr="009231A5" w:rsidRDefault="001E4BF3" w:rsidP="009231A5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1.3. Настоящая Политика разработана в соответствии с законодательством Российской</w:t>
      </w:r>
      <w:r w:rsidR="005244E7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4466E1" w:rsidRPr="007350AF">
        <w:rPr>
          <w:rFonts w:ascii="Times New Roman" w:hAnsi="Times New Roman" w:cs="Times New Roman"/>
          <w:sz w:val="24"/>
          <w:szCs w:val="24"/>
        </w:rPr>
        <w:t>ГОСТ Р ИСО 31000-2010</w:t>
      </w:r>
      <w:r w:rsidR="004466E1">
        <w:rPr>
          <w:rFonts w:ascii="Times New Roman" w:hAnsi="Times New Roman" w:cs="Times New Roman"/>
          <w:sz w:val="24"/>
          <w:szCs w:val="24"/>
        </w:rPr>
        <w:t xml:space="preserve">, </w:t>
      </w:r>
      <w:r w:rsidRPr="009231A5">
        <w:rPr>
          <w:rFonts w:ascii="Times New Roman" w:hAnsi="Times New Roman" w:cs="Times New Roman"/>
          <w:sz w:val="24"/>
          <w:szCs w:val="24"/>
        </w:rPr>
        <w:t xml:space="preserve">а также локальными нормативными актами </w:t>
      </w:r>
      <w:r w:rsidR="005244E7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и</w:t>
      </w:r>
      <w:r w:rsidR="005244E7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распространяется на все структурные подразделения </w:t>
      </w:r>
      <w:r w:rsidR="005244E7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116B2AA6" w14:textId="77777777" w:rsidR="001E4BF3" w:rsidRPr="00A9748A" w:rsidRDefault="001E4BF3" w:rsidP="00923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8A">
        <w:rPr>
          <w:rFonts w:ascii="Times New Roman" w:hAnsi="Times New Roman" w:cs="Times New Roman"/>
          <w:b/>
          <w:bCs/>
          <w:sz w:val="24"/>
          <w:szCs w:val="24"/>
        </w:rPr>
        <w:t>2. ТЕРМИНЫ И ОПРЕДЕЛЕНИЯ</w:t>
      </w:r>
    </w:p>
    <w:p w14:paraId="2B565C03" w14:textId="6D595005" w:rsidR="001E4BF3" w:rsidRPr="009231A5" w:rsidRDefault="001E4BF3" w:rsidP="009231A5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2.1. В настоящем документе используются следующие основные понятия и</w:t>
      </w:r>
      <w:r w:rsidR="005244E7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определения: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1A6E44" w14:paraId="7D406835" w14:textId="77777777" w:rsidTr="00386E6E">
        <w:tc>
          <w:tcPr>
            <w:tcW w:w="2689" w:type="dxa"/>
          </w:tcPr>
          <w:p w14:paraId="172074DC" w14:textId="77777777" w:rsidR="001A6E44" w:rsidRPr="00386E6E" w:rsidRDefault="001A6E44" w:rsidP="001A6E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Владелец риска </w:t>
            </w:r>
          </w:p>
          <w:p w14:paraId="4314A9B8" w14:textId="77777777" w:rsidR="001A6E44" w:rsidRPr="00386E6E" w:rsidRDefault="001A6E44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92F451E" w14:textId="77777777" w:rsidR="001A6E44" w:rsidRPr="009231A5" w:rsidRDefault="001A6E44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Компании,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 или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, отвечающий за управление соответствующим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риском, в том числе за определение и наличие достаточных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способов реагирования на риск и контрольных процедур,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обеспечение их операционной эффективности. Владелец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отвечает за реализацию мероприятий по управлению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и мониторинг риска.</w:t>
            </w:r>
          </w:p>
          <w:p w14:paraId="0ABFDAFA" w14:textId="77777777" w:rsidR="001A6E44" w:rsidRDefault="001A6E44" w:rsidP="0092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44" w14:paraId="3F971932" w14:textId="77777777" w:rsidTr="00386E6E">
        <w:tc>
          <w:tcPr>
            <w:tcW w:w="2689" w:type="dxa"/>
          </w:tcPr>
          <w:p w14:paraId="7D9AFD54" w14:textId="77777777" w:rsidR="001A6E44" w:rsidRPr="00386E6E" w:rsidRDefault="001A6E44" w:rsidP="001A6E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Идентификация рисков</w:t>
            </w:r>
          </w:p>
          <w:p w14:paraId="2AEAACB8" w14:textId="77777777" w:rsidR="001A6E44" w:rsidRPr="00386E6E" w:rsidRDefault="001A6E44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5E680EE" w14:textId="77777777" w:rsidR="001A6E44" w:rsidRPr="009231A5" w:rsidRDefault="001A6E44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Процесс выявления и описания потенциальных рисков,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причин и последствий.</w:t>
            </w:r>
          </w:p>
          <w:p w14:paraId="07F0E53D" w14:textId="77777777" w:rsidR="001A6E44" w:rsidRDefault="001A6E44" w:rsidP="0092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44" w14:paraId="2E19FB99" w14:textId="77777777" w:rsidTr="00386E6E">
        <w:tc>
          <w:tcPr>
            <w:tcW w:w="2689" w:type="dxa"/>
          </w:tcPr>
          <w:p w14:paraId="22AE6A4F" w14:textId="25C4B0CB" w:rsidR="001A6E44" w:rsidRPr="00050782" w:rsidRDefault="002A14A1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r w:rsidR="001A6E44" w:rsidRPr="0005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рисков</w:t>
            </w:r>
          </w:p>
        </w:tc>
        <w:tc>
          <w:tcPr>
            <w:tcW w:w="6662" w:type="dxa"/>
          </w:tcPr>
          <w:p w14:paraId="1CDB91B8" w14:textId="5265E95F" w:rsidR="001A6E44" w:rsidRPr="00050782" w:rsidRDefault="002A14A1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2">
              <w:rPr>
                <w:rFonts w:ascii="Times New Roman" w:hAnsi="Times New Roman" w:cs="Times New Roman"/>
                <w:sz w:val="24"/>
                <w:szCs w:val="24"/>
              </w:rPr>
              <w:t>Описание рисков и возможные варианты их компенсации описаны в Приложении 2</w:t>
            </w:r>
          </w:p>
          <w:p w14:paraId="183115B2" w14:textId="77777777" w:rsidR="001A6E44" w:rsidRPr="00050782" w:rsidRDefault="001A6E44" w:rsidP="0092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44" w14:paraId="3A30324D" w14:textId="77777777" w:rsidTr="00386E6E">
        <w:tc>
          <w:tcPr>
            <w:tcW w:w="2689" w:type="dxa"/>
          </w:tcPr>
          <w:p w14:paraId="509D5983" w14:textId="77777777" w:rsidR="001A6E44" w:rsidRPr="00386E6E" w:rsidRDefault="001A6E44" w:rsidP="001A6E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управлению риском</w:t>
            </w:r>
          </w:p>
          <w:p w14:paraId="35D5DD52" w14:textId="77777777" w:rsidR="001A6E44" w:rsidRPr="00386E6E" w:rsidRDefault="001A6E44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E862DD0" w14:textId="77777777" w:rsidR="001A6E44" w:rsidRPr="009231A5" w:rsidRDefault="001A6E44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Действия, разработанные на основании од</w:t>
            </w:r>
            <w:bookmarkStart w:id="0" w:name="_GoBack"/>
            <w:bookmarkEnd w:id="0"/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ного из 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методов управления:</w:t>
            </w:r>
          </w:p>
          <w:p w14:paraId="4C984E71" w14:textId="77777777" w:rsidR="001A6E44" w:rsidRPr="009231A5" w:rsidRDefault="001A6E44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1) Уклонение от риска;</w:t>
            </w:r>
          </w:p>
          <w:p w14:paraId="0A062E24" w14:textId="77777777" w:rsidR="001A6E44" w:rsidRPr="009231A5" w:rsidRDefault="001A6E44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2) Снижение риска;</w:t>
            </w:r>
          </w:p>
          <w:p w14:paraId="2A24D839" w14:textId="77777777" w:rsidR="001A6E44" w:rsidRPr="009231A5" w:rsidRDefault="001A6E44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3) Перенос (перераспределение) риска;</w:t>
            </w:r>
          </w:p>
          <w:p w14:paraId="68986A3A" w14:textId="19623E68" w:rsidR="001A6E44" w:rsidRDefault="001A6E44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4) Принятие риска.</w:t>
            </w:r>
          </w:p>
        </w:tc>
      </w:tr>
      <w:tr w:rsidR="001A6E44" w14:paraId="00FED956" w14:textId="77777777" w:rsidTr="00386E6E">
        <w:tc>
          <w:tcPr>
            <w:tcW w:w="2689" w:type="dxa"/>
          </w:tcPr>
          <w:p w14:paraId="660677C8" w14:textId="07ED2FD2" w:rsidR="001A6E44" w:rsidRPr="00386E6E" w:rsidRDefault="001A6E44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Мониторинг рисков</w:t>
            </w:r>
          </w:p>
        </w:tc>
        <w:tc>
          <w:tcPr>
            <w:tcW w:w="6662" w:type="dxa"/>
          </w:tcPr>
          <w:p w14:paraId="20841706" w14:textId="77777777" w:rsidR="001A6E44" w:rsidRDefault="001A6E44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информации об уровне риска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внешних или внутренних факторах, влияющих на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риска, а также о статусе мероприятий по управлению риском.</w:t>
            </w:r>
          </w:p>
          <w:p w14:paraId="212E1C42" w14:textId="7FF62205" w:rsidR="00F31F2F" w:rsidRDefault="00F31F2F" w:rsidP="001A6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44" w14:paraId="2F81338A" w14:textId="77777777" w:rsidTr="00386E6E">
        <w:tc>
          <w:tcPr>
            <w:tcW w:w="2689" w:type="dxa"/>
          </w:tcPr>
          <w:p w14:paraId="4BE4650D" w14:textId="1E65F78F" w:rsidR="001A6E44" w:rsidRPr="00386E6E" w:rsidRDefault="001A6E44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рисков</w:t>
            </w:r>
          </w:p>
        </w:tc>
        <w:tc>
          <w:tcPr>
            <w:tcW w:w="6662" w:type="dxa"/>
          </w:tcPr>
          <w:p w14:paraId="2C80000C" w14:textId="77777777" w:rsidR="001A6E44" w:rsidRDefault="001A6E44" w:rsidP="0038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Процесс определения уровня риска путем присвоения 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риску величины возможного ущерба и вероятности наступления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такого ущерба с целью дальнейшей разработки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управлению риском.</w:t>
            </w:r>
          </w:p>
          <w:p w14:paraId="14056F08" w14:textId="067408BD" w:rsidR="00F31F2F" w:rsidRDefault="00F31F2F" w:rsidP="0038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44" w14:paraId="0B81E8E9" w14:textId="77777777" w:rsidTr="00386E6E">
        <w:tc>
          <w:tcPr>
            <w:tcW w:w="2689" w:type="dxa"/>
          </w:tcPr>
          <w:p w14:paraId="37A4E1AF" w14:textId="08E758B8" w:rsidR="001A6E44" w:rsidRPr="00386E6E" w:rsidRDefault="00BB484D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Реестр рисков</w:t>
            </w:r>
          </w:p>
        </w:tc>
        <w:tc>
          <w:tcPr>
            <w:tcW w:w="6662" w:type="dxa"/>
          </w:tcPr>
          <w:p w14:paraId="07F0393A" w14:textId="77777777" w:rsidR="001A6E44" w:rsidRDefault="00BB484D" w:rsidP="0038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Таблица, содержащая следующую структурированную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информацию о рисках: наименование рисков, описание рисков,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ключевые причины и факторы наступления рисков,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возможных последствий от реализации рисков, оценку рисков,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владельцев рисков, мероприятия по управлению рисками,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сроки и статус их реализации.</w:t>
            </w:r>
          </w:p>
          <w:p w14:paraId="4B72BB22" w14:textId="458E877A" w:rsidR="00F31F2F" w:rsidRPr="009231A5" w:rsidRDefault="00F31F2F" w:rsidP="0038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4D" w14:paraId="79DBFE89" w14:textId="77777777" w:rsidTr="00386E6E">
        <w:tc>
          <w:tcPr>
            <w:tcW w:w="2689" w:type="dxa"/>
          </w:tcPr>
          <w:p w14:paraId="1ACAA88C" w14:textId="309A0096" w:rsidR="00BB484D" w:rsidRPr="00386E6E" w:rsidRDefault="00BB484D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6662" w:type="dxa"/>
          </w:tcPr>
          <w:p w14:paraId="3B9EDF76" w14:textId="05A3366C" w:rsidR="00BB484D" w:rsidRDefault="00BB484D" w:rsidP="00BB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внутреннее или внешнее событие,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оказывающее негативное влияние на достижение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F31F2F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 и приводящее к нежелательным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последствиям.</w:t>
            </w:r>
          </w:p>
          <w:p w14:paraId="6BB0D4AE" w14:textId="25D01ABF" w:rsidR="00F31F2F" w:rsidRPr="009231A5" w:rsidRDefault="00F31F2F" w:rsidP="00BB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4D" w14:paraId="5AE05FF6" w14:textId="77777777" w:rsidTr="00386E6E">
        <w:tc>
          <w:tcPr>
            <w:tcW w:w="2689" w:type="dxa"/>
          </w:tcPr>
          <w:p w14:paraId="75DDD8F6" w14:textId="04CFF38C" w:rsidR="00BB484D" w:rsidRPr="00386E6E" w:rsidRDefault="00BB484D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рисками</w:t>
            </w:r>
          </w:p>
        </w:tc>
        <w:tc>
          <w:tcPr>
            <w:tcW w:w="6662" w:type="dxa"/>
          </w:tcPr>
          <w:p w14:paraId="7A5C1E93" w14:textId="77777777" w:rsidR="00BB484D" w:rsidRDefault="00BB484D" w:rsidP="0038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Процесс, включающий в себя идентификацию, оценку рисков,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разработку и реализацию мероприятий по управлению риском,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а также мониторинг рисков.</w:t>
            </w:r>
          </w:p>
          <w:p w14:paraId="5AD93C05" w14:textId="58EF960C" w:rsidR="00F31F2F" w:rsidRPr="009231A5" w:rsidRDefault="00F31F2F" w:rsidP="0038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4D" w14:paraId="7AA711C3" w14:textId="77777777" w:rsidTr="00386E6E">
        <w:tc>
          <w:tcPr>
            <w:tcW w:w="2689" w:type="dxa"/>
          </w:tcPr>
          <w:p w14:paraId="1F4682CB" w14:textId="7444F0B3" w:rsidR="00BB484D" w:rsidRPr="00386E6E" w:rsidRDefault="00BB484D" w:rsidP="009231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риска</w:t>
            </w:r>
          </w:p>
        </w:tc>
        <w:tc>
          <w:tcPr>
            <w:tcW w:w="6662" w:type="dxa"/>
          </w:tcPr>
          <w:p w14:paraId="4551BB17" w14:textId="77777777" w:rsidR="00BB484D" w:rsidRPr="009231A5" w:rsidRDefault="00BB484D" w:rsidP="00BB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Оценка существенности риска в зависимости от вероятности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размера потенциального ущерба от его реализации.</w:t>
            </w:r>
          </w:p>
          <w:p w14:paraId="6F1458FF" w14:textId="77777777" w:rsidR="00BB484D" w:rsidRPr="009231A5" w:rsidRDefault="00BB484D" w:rsidP="00BB4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FB104" w14:textId="6B834322" w:rsidR="001E4BF3" w:rsidRPr="009231A5" w:rsidRDefault="00F36E82" w:rsidP="0092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FBB0C" w14:textId="77777777" w:rsidR="001E4BF3" w:rsidRPr="00A9748A" w:rsidRDefault="001E4BF3" w:rsidP="00923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8A">
        <w:rPr>
          <w:rFonts w:ascii="Times New Roman" w:hAnsi="Times New Roman" w:cs="Times New Roman"/>
          <w:b/>
          <w:bCs/>
          <w:sz w:val="24"/>
          <w:szCs w:val="24"/>
        </w:rPr>
        <w:t>3. ЦЕЛЬ, ЗАДАЧИ И ПРИНЦИПЫ</w:t>
      </w:r>
    </w:p>
    <w:p w14:paraId="27B1A10D" w14:textId="5543307C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3.1. Целью управления рисками (далее – УР) является обеспечение достижения целей</w:t>
      </w:r>
      <w:r w:rsidR="00F36E82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1814A0">
        <w:rPr>
          <w:rFonts w:ascii="Times New Roman" w:hAnsi="Times New Roman" w:cs="Times New Roman"/>
          <w:sz w:val="24"/>
          <w:szCs w:val="24"/>
        </w:rPr>
        <w:t>ее</w:t>
      </w:r>
      <w:r w:rsidRPr="009231A5">
        <w:rPr>
          <w:rFonts w:ascii="Times New Roman" w:hAnsi="Times New Roman" w:cs="Times New Roman"/>
          <w:sz w:val="24"/>
          <w:szCs w:val="24"/>
        </w:rPr>
        <w:t xml:space="preserve"> стратегией, путем развития и</w:t>
      </w:r>
      <w:r w:rsidR="00F36E82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поддержания организационной структуры, процессов и ресурсов, направленных на</w:t>
      </w:r>
      <w:r w:rsidR="00F36E82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выявление, оценку, управление и мониторинг рисков.</w:t>
      </w:r>
    </w:p>
    <w:p w14:paraId="647C3062" w14:textId="77777777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3.2. Задачи управления рисками:</w:t>
      </w:r>
    </w:p>
    <w:p w14:paraId="0B591671" w14:textId="501A8B3D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Своевременное выявление рисков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73BEA3AC" w14:textId="77777777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Предотвращение реализации рисков и снижение их последствий до приемлемого уровня.</w:t>
      </w:r>
    </w:p>
    <w:p w14:paraId="724AA146" w14:textId="7EF13EC6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Информирование </w:t>
      </w:r>
      <w:r w:rsidR="001814A0">
        <w:rPr>
          <w:rFonts w:ascii="Times New Roman" w:hAnsi="Times New Roman" w:cs="Times New Roman"/>
          <w:sz w:val="24"/>
          <w:szCs w:val="24"/>
        </w:rPr>
        <w:t>Руководителей предприятий Группы</w:t>
      </w:r>
      <w:r w:rsidRPr="009231A5">
        <w:rPr>
          <w:rFonts w:ascii="Times New Roman" w:hAnsi="Times New Roman" w:cs="Times New Roman"/>
          <w:sz w:val="24"/>
          <w:szCs w:val="24"/>
        </w:rPr>
        <w:t xml:space="preserve"> и Совета директоров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F36E82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управления рисками.</w:t>
      </w:r>
    </w:p>
    <w:p w14:paraId="6451E35B" w14:textId="649DD45C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Мониторинг влияния рисков на финансовую устойчивость, достижение стратегических и</w:t>
      </w:r>
      <w:r w:rsidR="00F36E82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операционных целей и на репутацию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78FBA602" w14:textId="1BA18D47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Поддержание в актуальном состоянии локальных нормативных актов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в</w:t>
      </w:r>
      <w:r w:rsidR="00F36E82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области управления рисками.</w:t>
      </w:r>
    </w:p>
    <w:p w14:paraId="06936F1D" w14:textId="5E05E312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Развитие культуры управления рисками в </w:t>
      </w:r>
      <w:r w:rsidR="006D342D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, в частности, путем проведения</w:t>
      </w:r>
      <w:r w:rsidR="00F36E82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обучающих мероприятий для работников.</w:t>
      </w:r>
    </w:p>
    <w:p w14:paraId="611A6D9F" w14:textId="77777777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lastRenderedPageBreak/>
        <w:t>3.3. Управление рисками основывается на следующих принципах:</w:t>
      </w:r>
    </w:p>
    <w:p w14:paraId="7D8E05E8" w14:textId="7A9C0469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Управление рисками является неотъемлемой частью всех бизнес-процессов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="00F36E82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и входит в сферу ответственности соответствующих работников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4C858633" w14:textId="77777777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Управление рисками осуществляется непрерывно и на систематической основе.</w:t>
      </w:r>
    </w:p>
    <w:p w14:paraId="043C878D" w14:textId="6C07F0BA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Деятельность по управлению рисками носит превентивный характер и направлена на</w:t>
      </w:r>
      <w:r w:rsidR="00F36E82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снижение вероятности и/или ущерба от реализации рисков, а не на устранение последствий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такой реализации.</w:t>
      </w:r>
    </w:p>
    <w:p w14:paraId="5B9C84C0" w14:textId="2752FE9A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Управление рисками является частью ежедневного процесса управления и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предусматривает, что каждый сотрудник обязан выявлять и оценивать риски для наиболее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эффективного принятия решений менеджментом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1E656E8F" w14:textId="0CE330BC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</w:t>
      </w:r>
      <w:r w:rsidR="006D342D">
        <w:rPr>
          <w:rFonts w:ascii="Times New Roman" w:hAnsi="Times New Roman" w:cs="Times New Roman"/>
          <w:sz w:val="24"/>
          <w:szCs w:val="24"/>
        </w:rPr>
        <w:t>Компания</w:t>
      </w:r>
      <w:r w:rsidRPr="009231A5">
        <w:rPr>
          <w:rFonts w:ascii="Times New Roman" w:hAnsi="Times New Roman" w:cs="Times New Roman"/>
          <w:sz w:val="24"/>
          <w:szCs w:val="24"/>
        </w:rPr>
        <w:t xml:space="preserve"> придерживается баланса расходов по управлению рисками и возможными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последствиями в случае реализации риска. </w:t>
      </w:r>
      <w:r w:rsidR="006D342D">
        <w:rPr>
          <w:rFonts w:ascii="Times New Roman" w:hAnsi="Times New Roman" w:cs="Times New Roman"/>
          <w:sz w:val="24"/>
          <w:szCs w:val="24"/>
        </w:rPr>
        <w:t>Компания</w:t>
      </w:r>
      <w:r w:rsidRPr="009231A5">
        <w:rPr>
          <w:rFonts w:ascii="Times New Roman" w:hAnsi="Times New Roman" w:cs="Times New Roman"/>
          <w:sz w:val="24"/>
          <w:szCs w:val="24"/>
        </w:rPr>
        <w:t xml:space="preserve"> может не предпринимать никаких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действий по реагированию на риск, если затраты, связанные с таким реагированием,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сопоставимы с последствиями риска.</w:t>
      </w:r>
    </w:p>
    <w:p w14:paraId="7AEEAA69" w14:textId="35DA1E10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Для управления рисками используется максимально точная, полная и достоверная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информация, включая информацию за прошедшие периоды, аналитические материалы,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прогнозы и др.</w:t>
      </w:r>
    </w:p>
    <w:p w14:paraId="310C8A30" w14:textId="77777777" w:rsidR="001E4BF3" w:rsidRPr="00A9748A" w:rsidRDefault="001E4BF3" w:rsidP="001814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8A">
        <w:rPr>
          <w:rFonts w:ascii="Times New Roman" w:hAnsi="Times New Roman" w:cs="Times New Roman"/>
          <w:b/>
          <w:bCs/>
          <w:sz w:val="24"/>
          <w:szCs w:val="24"/>
        </w:rPr>
        <w:t>4. КАТЕГОРИИ РИСКОВ</w:t>
      </w:r>
    </w:p>
    <w:p w14:paraId="491E19A5" w14:textId="5CAC90AA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4.1. Предметом управления рисками в </w:t>
      </w:r>
      <w:r w:rsidR="006D342D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являются следующие категории рисков:</w:t>
      </w:r>
    </w:p>
    <w:p w14:paraId="54DC2544" w14:textId="62242F5C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Управленческая команда – риски, связанные с персоналом компании (отсутствие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компетенций, мошенничество, уход из компании ключевых сотрудников и т.д.);</w:t>
      </w:r>
    </w:p>
    <w:p w14:paraId="6C258A3F" w14:textId="78E566CA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Спрос, рынок и конкуренты – риски, связанные с коммерческой деятельностью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(низкий спрос на продукцию, высокая конкуренция, барьеры при </w:t>
      </w:r>
      <w:r w:rsidR="007D75F3">
        <w:rPr>
          <w:rFonts w:ascii="Times New Roman" w:hAnsi="Times New Roman" w:cs="Times New Roman"/>
          <w:sz w:val="24"/>
          <w:szCs w:val="24"/>
        </w:rPr>
        <w:t>работ</w:t>
      </w:r>
      <w:r w:rsidRPr="009231A5">
        <w:rPr>
          <w:rFonts w:ascii="Times New Roman" w:hAnsi="Times New Roman" w:cs="Times New Roman"/>
          <w:sz w:val="24"/>
          <w:szCs w:val="24"/>
        </w:rPr>
        <w:t>е на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международны</w:t>
      </w:r>
      <w:r w:rsidR="007D75F3">
        <w:rPr>
          <w:rFonts w:ascii="Times New Roman" w:hAnsi="Times New Roman" w:cs="Times New Roman"/>
          <w:sz w:val="24"/>
          <w:szCs w:val="24"/>
        </w:rPr>
        <w:t>х</w:t>
      </w:r>
      <w:r w:rsidRPr="009231A5">
        <w:rPr>
          <w:rFonts w:ascii="Times New Roman" w:hAnsi="Times New Roman" w:cs="Times New Roman"/>
          <w:sz w:val="24"/>
          <w:szCs w:val="24"/>
        </w:rPr>
        <w:t xml:space="preserve"> рынк</w:t>
      </w:r>
      <w:r w:rsidR="007D75F3">
        <w:rPr>
          <w:rFonts w:ascii="Times New Roman" w:hAnsi="Times New Roman" w:cs="Times New Roman"/>
          <w:sz w:val="24"/>
          <w:szCs w:val="24"/>
        </w:rPr>
        <w:t>ах</w:t>
      </w:r>
      <w:r w:rsidRPr="009231A5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14:paraId="59D7D373" w14:textId="12E2BF2C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Технологические риски – риски, связанные с особенностями технологии производства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;</w:t>
      </w:r>
    </w:p>
    <w:p w14:paraId="752BE470" w14:textId="3D1358AE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Риски, связанные со строительством и закупкой/эксплуатацией оборудования –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недобросовестные поставщики /подрядчики, превышение сроков и бюджета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строительства, логистика и т. д.;</w:t>
      </w:r>
    </w:p>
    <w:p w14:paraId="2C999A59" w14:textId="7859F90F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Финансовые риски – риски, связанные с финансовым состоянием, ликвидностью и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платежеспособностью компании (привлечение капитала, валютные риски, налоговые риски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и т.д.);</w:t>
      </w:r>
    </w:p>
    <w:p w14:paraId="24652D4D" w14:textId="2A3DE7AD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Юридические риски /законодательство – риски, связанные с юридическими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особенностями и правовым полем деятельности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;</w:t>
      </w:r>
    </w:p>
    <w:p w14:paraId="67F6652B" w14:textId="23ED90DF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Поставщики / партнеры / соинвесторы – риски, связанные с заключением контрактов, поставкой сырья и т.п.</w:t>
      </w:r>
    </w:p>
    <w:p w14:paraId="3362BFDE" w14:textId="1BCDAC68" w:rsidR="001E4BF3" w:rsidRPr="009231A5" w:rsidRDefault="001E4BF3" w:rsidP="001814A0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4.2. Более подробная информация о </w:t>
      </w:r>
      <w:r w:rsidR="002A14A1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9231A5">
        <w:rPr>
          <w:rFonts w:ascii="Times New Roman" w:hAnsi="Times New Roman" w:cs="Times New Roman"/>
          <w:sz w:val="24"/>
          <w:szCs w:val="24"/>
        </w:rPr>
        <w:t>рисках в каждой категории представлена в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классификаторе рисков (Приложение 1).</w:t>
      </w:r>
    </w:p>
    <w:p w14:paraId="5D7AD3F3" w14:textId="77777777" w:rsidR="000A1F5E" w:rsidRDefault="000A1F5E" w:rsidP="00923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60DC7" w14:textId="6BDB7740" w:rsidR="001E4BF3" w:rsidRPr="00A9748A" w:rsidRDefault="001E4BF3" w:rsidP="009231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8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УЧАСТНИКИ И ИХ ФУНКЦИИ</w:t>
      </w:r>
    </w:p>
    <w:p w14:paraId="6322B2D1" w14:textId="4EB293A3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5.1. Структура управления рисками в </w:t>
      </w:r>
      <w:r w:rsidR="006D342D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включает вовлечение следующих</w:t>
      </w:r>
      <w:r w:rsidR="0054020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органов</w:t>
      </w:r>
      <w:r w:rsidR="000A1F5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и подразделений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:</w:t>
      </w:r>
    </w:p>
    <w:p w14:paraId="4532F2B0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Совет директоров;</w:t>
      </w:r>
    </w:p>
    <w:p w14:paraId="4E951FF4" w14:textId="608F7539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</w:t>
      </w:r>
      <w:r w:rsidR="005E3079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2A14A1">
        <w:rPr>
          <w:rFonts w:ascii="Times New Roman" w:hAnsi="Times New Roman" w:cs="Times New Roman"/>
          <w:sz w:val="24"/>
          <w:szCs w:val="24"/>
        </w:rPr>
        <w:t>/Координатор управления рисками</w:t>
      </w:r>
      <w:r w:rsidRPr="009231A5">
        <w:rPr>
          <w:rFonts w:ascii="Times New Roman" w:hAnsi="Times New Roman" w:cs="Times New Roman"/>
          <w:sz w:val="24"/>
          <w:szCs w:val="24"/>
        </w:rPr>
        <w:t>;</w:t>
      </w:r>
    </w:p>
    <w:p w14:paraId="49F7C18F" w14:textId="30E72889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Руководители </w:t>
      </w:r>
      <w:r w:rsidR="000A1F5E">
        <w:rPr>
          <w:rFonts w:ascii="Times New Roman" w:hAnsi="Times New Roman" w:cs="Times New Roman"/>
          <w:sz w:val="24"/>
          <w:szCs w:val="24"/>
        </w:rPr>
        <w:t xml:space="preserve">предприятий Группы Компаний и </w:t>
      </w:r>
      <w:r w:rsidRPr="009231A5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FF662F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Pr="009231A5">
        <w:rPr>
          <w:rFonts w:ascii="Times New Roman" w:hAnsi="Times New Roman" w:cs="Times New Roman"/>
          <w:sz w:val="24"/>
          <w:szCs w:val="24"/>
        </w:rPr>
        <w:t>;</w:t>
      </w:r>
    </w:p>
    <w:p w14:paraId="0BDB6C26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Прочие сотрудники.</w:t>
      </w:r>
    </w:p>
    <w:p w14:paraId="2AB5EEE1" w14:textId="1BC2458E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A1">
        <w:rPr>
          <w:rFonts w:ascii="Times New Roman" w:hAnsi="Times New Roman" w:cs="Times New Roman"/>
          <w:sz w:val="24"/>
          <w:szCs w:val="24"/>
        </w:rPr>
        <w:t>5.2. Совет директоров осуществляет надзор за управлением рисками, включая принятие</w:t>
      </w:r>
      <w:r w:rsidR="005E3079" w:rsidRPr="002A14A1">
        <w:rPr>
          <w:rFonts w:ascii="Times New Roman" w:hAnsi="Times New Roman" w:cs="Times New Roman"/>
          <w:sz w:val="24"/>
          <w:szCs w:val="24"/>
        </w:rPr>
        <w:t xml:space="preserve"> </w:t>
      </w:r>
      <w:r w:rsidRPr="002A14A1">
        <w:rPr>
          <w:rFonts w:ascii="Times New Roman" w:hAnsi="Times New Roman" w:cs="Times New Roman"/>
          <w:sz w:val="24"/>
          <w:szCs w:val="24"/>
        </w:rPr>
        <w:t>решений и предоставление рекомендаций</w:t>
      </w:r>
      <w:r w:rsidR="002A14A1" w:rsidRPr="002A14A1">
        <w:rPr>
          <w:rFonts w:ascii="Times New Roman" w:hAnsi="Times New Roman" w:cs="Times New Roman"/>
          <w:sz w:val="24"/>
          <w:szCs w:val="24"/>
        </w:rPr>
        <w:t>.</w:t>
      </w:r>
      <w:r w:rsidRPr="002A14A1">
        <w:rPr>
          <w:rFonts w:ascii="Times New Roman" w:hAnsi="Times New Roman" w:cs="Times New Roman"/>
          <w:sz w:val="24"/>
          <w:szCs w:val="24"/>
        </w:rPr>
        <w:t xml:space="preserve"> </w:t>
      </w:r>
      <w:r w:rsidR="002A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9F286" w14:textId="2B5E84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5.3. </w:t>
      </w:r>
      <w:r w:rsidR="005E3079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9231A5">
        <w:rPr>
          <w:rFonts w:ascii="Times New Roman" w:hAnsi="Times New Roman" w:cs="Times New Roman"/>
          <w:sz w:val="24"/>
          <w:szCs w:val="24"/>
        </w:rPr>
        <w:t>:</w:t>
      </w:r>
    </w:p>
    <w:p w14:paraId="267E88CD" w14:textId="0DFAE809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Отвечает за организацию эффективное управление рисками, позволяющее выявлять,</w:t>
      </w:r>
      <w:r w:rsidR="008153B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оценивать и управлять рисками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;</w:t>
      </w:r>
    </w:p>
    <w:p w14:paraId="5F52F883" w14:textId="7C057A79" w:rsidR="001E4BF3" w:rsidRPr="002A14A1" w:rsidRDefault="002A14A1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A1">
        <w:rPr>
          <w:rFonts w:ascii="Times New Roman" w:hAnsi="Times New Roman" w:cs="Times New Roman"/>
          <w:sz w:val="24"/>
          <w:szCs w:val="24"/>
        </w:rPr>
        <w:t> Утверждает</w:t>
      </w:r>
      <w:r w:rsidR="001E4BF3" w:rsidRPr="002A14A1">
        <w:rPr>
          <w:rFonts w:ascii="Times New Roman" w:hAnsi="Times New Roman" w:cs="Times New Roman"/>
          <w:sz w:val="24"/>
          <w:szCs w:val="24"/>
        </w:rPr>
        <w:t xml:space="preserve"> реестр рисков </w:t>
      </w:r>
      <w:r w:rsidR="001814A0" w:rsidRPr="002A14A1">
        <w:rPr>
          <w:rFonts w:ascii="Times New Roman" w:hAnsi="Times New Roman" w:cs="Times New Roman"/>
          <w:sz w:val="24"/>
          <w:szCs w:val="24"/>
        </w:rPr>
        <w:t>Компании</w:t>
      </w:r>
      <w:r w:rsidR="001E4BF3" w:rsidRPr="002A14A1">
        <w:rPr>
          <w:rFonts w:ascii="Times New Roman" w:hAnsi="Times New Roman" w:cs="Times New Roman"/>
          <w:sz w:val="24"/>
          <w:szCs w:val="24"/>
        </w:rPr>
        <w:t>;</w:t>
      </w:r>
    </w:p>
    <w:p w14:paraId="0D14A3D7" w14:textId="77777777" w:rsidR="001E4BF3" w:rsidRPr="002A14A1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A1">
        <w:rPr>
          <w:rFonts w:ascii="Times New Roman" w:hAnsi="Times New Roman" w:cs="Times New Roman"/>
          <w:sz w:val="24"/>
          <w:szCs w:val="24"/>
        </w:rPr>
        <w:t> Утверждает перечень мероприятий по управлению существующими рисками;</w:t>
      </w:r>
    </w:p>
    <w:p w14:paraId="51A5077A" w14:textId="4F535543" w:rsidR="000C74B2" w:rsidRPr="009231A5" w:rsidRDefault="001E4BF3" w:rsidP="000C74B2">
      <w:pPr>
        <w:jc w:val="both"/>
        <w:rPr>
          <w:rFonts w:ascii="Times New Roman" w:hAnsi="Times New Roman" w:cs="Times New Roman"/>
          <w:sz w:val="24"/>
          <w:szCs w:val="24"/>
        </w:rPr>
      </w:pPr>
      <w:r w:rsidRPr="002A14A1">
        <w:rPr>
          <w:rFonts w:ascii="Times New Roman" w:hAnsi="Times New Roman" w:cs="Times New Roman"/>
          <w:sz w:val="24"/>
          <w:szCs w:val="24"/>
        </w:rPr>
        <w:t> Использует информацию о рисках, при принятии управленческих и инвестиционных решений.</w:t>
      </w:r>
      <w:r w:rsidR="000C74B2">
        <w:rPr>
          <w:rFonts w:ascii="Times New Roman" w:hAnsi="Times New Roman" w:cs="Times New Roman"/>
          <w:sz w:val="24"/>
          <w:szCs w:val="24"/>
        </w:rPr>
        <w:t xml:space="preserve"> </w:t>
      </w:r>
      <w:r w:rsidR="000C74B2" w:rsidRPr="009231A5">
        <w:rPr>
          <w:rFonts w:ascii="Times New Roman" w:hAnsi="Times New Roman" w:cs="Times New Roman"/>
          <w:sz w:val="24"/>
          <w:szCs w:val="24"/>
        </w:rPr>
        <w:t>Координирует работу структурных подразделений по выявлению и оценке рисков, а</w:t>
      </w:r>
      <w:r w:rsidR="000C74B2">
        <w:rPr>
          <w:rFonts w:ascii="Times New Roman" w:hAnsi="Times New Roman" w:cs="Times New Roman"/>
          <w:sz w:val="24"/>
          <w:szCs w:val="24"/>
        </w:rPr>
        <w:t xml:space="preserve"> </w:t>
      </w:r>
      <w:r w:rsidR="000C74B2" w:rsidRPr="009231A5">
        <w:rPr>
          <w:rFonts w:ascii="Times New Roman" w:hAnsi="Times New Roman" w:cs="Times New Roman"/>
          <w:sz w:val="24"/>
          <w:szCs w:val="24"/>
        </w:rPr>
        <w:t>также разработке мероприятий по их управлению;</w:t>
      </w:r>
    </w:p>
    <w:p w14:paraId="431CAFA2" w14:textId="77777777" w:rsidR="000C74B2" w:rsidRPr="009231A5" w:rsidRDefault="000C74B2" w:rsidP="000C74B2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Обеспечивает актуализацию Политики по управлению рисками;</w:t>
      </w:r>
    </w:p>
    <w:p w14:paraId="3E8AAB4D" w14:textId="1090D137" w:rsidR="000C74B2" w:rsidRPr="009231A5" w:rsidRDefault="000C74B2" w:rsidP="000C74B2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Агрегирует информацию о </w:t>
      </w:r>
      <w:proofErr w:type="gramStart"/>
      <w:r w:rsidRPr="009231A5">
        <w:rPr>
          <w:rFonts w:ascii="Times New Roman" w:hAnsi="Times New Roman" w:cs="Times New Roman"/>
          <w:sz w:val="24"/>
          <w:szCs w:val="24"/>
        </w:rPr>
        <w:t xml:space="preserve">рисках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8DA6D74" w14:textId="77777777" w:rsidR="000C74B2" w:rsidRPr="009231A5" w:rsidRDefault="000C74B2" w:rsidP="000C74B2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Разрабатывает и проводит мероприятия, направленные на 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управления рисками в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14:paraId="51882597" w14:textId="51726BBB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5.4. Руководители </w:t>
      </w:r>
      <w:r w:rsidR="00D63DB5">
        <w:rPr>
          <w:rFonts w:ascii="Times New Roman" w:hAnsi="Times New Roman" w:cs="Times New Roman"/>
          <w:sz w:val="24"/>
          <w:szCs w:val="24"/>
        </w:rPr>
        <w:t>предприятий Группы (</w:t>
      </w:r>
      <w:r w:rsidRPr="009231A5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D63DB5">
        <w:rPr>
          <w:rFonts w:ascii="Times New Roman" w:hAnsi="Times New Roman" w:cs="Times New Roman"/>
          <w:sz w:val="24"/>
          <w:szCs w:val="24"/>
        </w:rPr>
        <w:t>)</w:t>
      </w:r>
      <w:r w:rsidRPr="009231A5">
        <w:rPr>
          <w:rFonts w:ascii="Times New Roman" w:hAnsi="Times New Roman" w:cs="Times New Roman"/>
          <w:sz w:val="24"/>
          <w:szCs w:val="24"/>
        </w:rPr>
        <w:t>:</w:t>
      </w:r>
    </w:p>
    <w:p w14:paraId="7642515F" w14:textId="276F51A9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Обеспечивают соблюдение положений Политики работниками своих структурных</w:t>
      </w:r>
      <w:r w:rsidR="005E3079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подразделений.</w:t>
      </w:r>
    </w:p>
    <w:p w14:paraId="3BDC99C9" w14:textId="12CA7106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Представляют информацию о рисках в области своей компетенции </w:t>
      </w:r>
      <w:r w:rsidR="000225E7">
        <w:rPr>
          <w:rFonts w:ascii="Times New Roman" w:hAnsi="Times New Roman" w:cs="Times New Roman"/>
          <w:sz w:val="24"/>
          <w:szCs w:val="24"/>
        </w:rPr>
        <w:t>Управляющей компании и Совету директоров</w:t>
      </w:r>
      <w:r w:rsidRPr="009231A5">
        <w:rPr>
          <w:rFonts w:ascii="Times New Roman" w:hAnsi="Times New Roman" w:cs="Times New Roman"/>
          <w:sz w:val="24"/>
          <w:szCs w:val="24"/>
        </w:rPr>
        <w:t xml:space="preserve"> для</w:t>
      </w:r>
      <w:r w:rsidR="005E3079">
        <w:rPr>
          <w:rFonts w:ascii="Times New Roman" w:hAnsi="Times New Roman" w:cs="Times New Roman"/>
          <w:sz w:val="24"/>
          <w:szCs w:val="24"/>
        </w:rPr>
        <w:t xml:space="preserve"> </w:t>
      </w:r>
      <w:r w:rsidR="000C74B2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 w:rsidRPr="009231A5">
        <w:rPr>
          <w:rFonts w:ascii="Times New Roman" w:hAnsi="Times New Roman" w:cs="Times New Roman"/>
          <w:sz w:val="24"/>
          <w:szCs w:val="24"/>
        </w:rPr>
        <w:t>реестра рисков.</w:t>
      </w:r>
    </w:p>
    <w:p w14:paraId="5D89B0B0" w14:textId="6388F7BF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Обеспечивают своевременную разработку и реализацию мероприятий по управлению</w:t>
      </w:r>
      <w:r w:rsidR="005E3079">
        <w:rPr>
          <w:rFonts w:ascii="Times New Roman" w:hAnsi="Times New Roman" w:cs="Times New Roman"/>
          <w:sz w:val="24"/>
          <w:szCs w:val="24"/>
        </w:rPr>
        <w:t xml:space="preserve"> </w:t>
      </w:r>
      <w:r w:rsidRPr="000C74B2">
        <w:rPr>
          <w:rFonts w:ascii="Times New Roman" w:hAnsi="Times New Roman" w:cs="Times New Roman"/>
          <w:sz w:val="24"/>
          <w:szCs w:val="24"/>
        </w:rPr>
        <w:t xml:space="preserve">рисками, утвержденных </w:t>
      </w:r>
      <w:r w:rsidR="00D63DB5" w:rsidRPr="000C74B2">
        <w:rPr>
          <w:rFonts w:ascii="Times New Roman" w:hAnsi="Times New Roman" w:cs="Times New Roman"/>
          <w:sz w:val="24"/>
          <w:szCs w:val="24"/>
        </w:rPr>
        <w:t>Советом директоров /</w:t>
      </w:r>
      <w:r w:rsidR="005E3079" w:rsidRPr="000C74B2">
        <w:rPr>
          <w:rFonts w:ascii="Times New Roman" w:hAnsi="Times New Roman" w:cs="Times New Roman"/>
          <w:sz w:val="24"/>
          <w:szCs w:val="24"/>
        </w:rPr>
        <w:t>Управляю</w:t>
      </w:r>
      <w:r w:rsidR="00D63DB5" w:rsidRPr="000C74B2">
        <w:rPr>
          <w:rFonts w:ascii="Times New Roman" w:hAnsi="Times New Roman" w:cs="Times New Roman"/>
          <w:sz w:val="24"/>
          <w:szCs w:val="24"/>
        </w:rPr>
        <w:t>щей компанией</w:t>
      </w:r>
      <w:r w:rsidRPr="000C74B2">
        <w:rPr>
          <w:rFonts w:ascii="Times New Roman" w:hAnsi="Times New Roman" w:cs="Times New Roman"/>
          <w:sz w:val="24"/>
          <w:szCs w:val="24"/>
        </w:rPr>
        <w:t>.</w:t>
      </w:r>
    </w:p>
    <w:p w14:paraId="36EDBACC" w14:textId="3037D8C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Выделяют ресурсы в случае необходимости принятия оперативных мер по управлению</w:t>
      </w:r>
      <w:r w:rsidR="00D63DB5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рисками или для снижения негативных последствий уже реализовавшихся рисков.</w:t>
      </w:r>
    </w:p>
    <w:p w14:paraId="52BE5CE0" w14:textId="09E466A3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Оптимизируют бизнес-процессы с целью уменьшения уровня рисков или последствий их</w:t>
      </w:r>
      <w:r w:rsidR="00D63DB5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реализации.</w:t>
      </w:r>
    </w:p>
    <w:p w14:paraId="036A13D7" w14:textId="28F9F23C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Используют информацию о рисках при формировании целей и бюджета структурного</w:t>
      </w:r>
      <w:r w:rsidR="00B77AE7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подразделения.</w:t>
      </w:r>
    </w:p>
    <w:p w14:paraId="77A69A21" w14:textId="236EA248" w:rsidR="001E4BF3" w:rsidRPr="009231A5" w:rsidRDefault="000C74B2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E4BF3" w:rsidRPr="009231A5">
        <w:rPr>
          <w:rFonts w:ascii="Times New Roman" w:hAnsi="Times New Roman" w:cs="Times New Roman"/>
          <w:sz w:val="24"/>
          <w:szCs w:val="24"/>
        </w:rPr>
        <w:t>. Прочие сотрудники:</w:t>
      </w:r>
    </w:p>
    <w:p w14:paraId="4D73D3A2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lastRenderedPageBreak/>
        <w:t> Осуществляют идентификацию рисков в области своей компетенции;</w:t>
      </w:r>
    </w:p>
    <w:p w14:paraId="6F8ABA33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Реализуют утвержденные мероприятия по управлению рисками;</w:t>
      </w:r>
    </w:p>
    <w:p w14:paraId="47C58FAD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Осуществляют мониторинг уровня рисков в области своей компетенции.</w:t>
      </w:r>
    </w:p>
    <w:p w14:paraId="0125C54E" w14:textId="77777777" w:rsidR="001E4BF3" w:rsidRPr="00A9748A" w:rsidRDefault="001E4BF3" w:rsidP="000A1F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8A">
        <w:rPr>
          <w:rFonts w:ascii="Times New Roman" w:hAnsi="Times New Roman" w:cs="Times New Roman"/>
          <w:b/>
          <w:bCs/>
          <w:sz w:val="24"/>
          <w:szCs w:val="24"/>
        </w:rPr>
        <w:t>6. ПРОЦЕСС УПРАВЛЕНИЯ РИСКАМИ</w:t>
      </w:r>
    </w:p>
    <w:p w14:paraId="210EF291" w14:textId="77777777" w:rsidR="001E4BF3" w:rsidRPr="000225E7" w:rsidRDefault="001E4BF3" w:rsidP="000A1F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E7">
        <w:rPr>
          <w:rFonts w:ascii="Times New Roman" w:hAnsi="Times New Roman" w:cs="Times New Roman"/>
          <w:b/>
          <w:sz w:val="24"/>
          <w:szCs w:val="24"/>
        </w:rPr>
        <w:t>6.1. Выявление рисков</w:t>
      </w:r>
    </w:p>
    <w:p w14:paraId="50F259C4" w14:textId="34472115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6.1.1. Выявление рисков – процесс, в рамках которого определяются внутренние или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внешние события, реализация которых может негативно отразиться на достижении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="006D342D">
        <w:rPr>
          <w:rFonts w:ascii="Times New Roman" w:hAnsi="Times New Roman" w:cs="Times New Roman"/>
          <w:sz w:val="24"/>
          <w:szCs w:val="24"/>
        </w:rPr>
        <w:t>Компания</w:t>
      </w:r>
      <w:r w:rsidRPr="009231A5">
        <w:rPr>
          <w:rFonts w:ascii="Times New Roman" w:hAnsi="Times New Roman" w:cs="Times New Roman"/>
          <w:sz w:val="24"/>
          <w:szCs w:val="24"/>
        </w:rPr>
        <w:t>м поставленных целей.</w:t>
      </w:r>
    </w:p>
    <w:p w14:paraId="1EC6CE72" w14:textId="333AB88E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6.1.2. Риски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необходимо выявлять в рамках ежегодного цикла планирования и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бюджетирования и актуализовать в рамках полугодового пересмотра бюджета</w:t>
      </w:r>
      <w:r w:rsidR="000225E7">
        <w:rPr>
          <w:rFonts w:ascii="Times New Roman" w:hAnsi="Times New Roman" w:cs="Times New Roman"/>
          <w:sz w:val="24"/>
          <w:szCs w:val="24"/>
        </w:rPr>
        <w:t xml:space="preserve"> или по мере наступления событий, которые требуют внеочередного рассмотрения ситуации с рисками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4BEAB72B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Риски могут выявляться следующим образом:</w:t>
      </w:r>
    </w:p>
    <w:p w14:paraId="7065F7BF" w14:textId="102B6F14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</w:t>
      </w:r>
      <w:r w:rsidR="000C74B2">
        <w:rPr>
          <w:rFonts w:ascii="Times New Roman" w:hAnsi="Times New Roman" w:cs="Times New Roman"/>
          <w:sz w:val="24"/>
          <w:szCs w:val="24"/>
        </w:rPr>
        <w:t>П</w:t>
      </w:r>
      <w:r w:rsidRPr="009231A5">
        <w:rPr>
          <w:rFonts w:ascii="Times New Roman" w:hAnsi="Times New Roman" w:cs="Times New Roman"/>
          <w:sz w:val="24"/>
          <w:szCs w:val="24"/>
        </w:rPr>
        <w:t>ри определении целей и задач на текущий или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следующий год. </w:t>
      </w:r>
      <w:r w:rsidR="000C74B2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9231A5">
        <w:rPr>
          <w:rFonts w:ascii="Times New Roman" w:hAnsi="Times New Roman" w:cs="Times New Roman"/>
          <w:sz w:val="24"/>
          <w:szCs w:val="24"/>
        </w:rPr>
        <w:t xml:space="preserve"> отвечает за подготовку и координацию </w:t>
      </w:r>
      <w:r w:rsidR="000C74B2">
        <w:rPr>
          <w:rFonts w:ascii="Times New Roman" w:hAnsi="Times New Roman" w:cs="Times New Roman"/>
          <w:sz w:val="24"/>
          <w:szCs w:val="24"/>
        </w:rPr>
        <w:t>вопросов</w:t>
      </w:r>
      <w:r w:rsidRPr="009231A5">
        <w:rPr>
          <w:rFonts w:ascii="Times New Roman" w:hAnsi="Times New Roman" w:cs="Times New Roman"/>
          <w:sz w:val="24"/>
          <w:szCs w:val="24"/>
        </w:rPr>
        <w:t>,</w:t>
      </w:r>
      <w:r w:rsidR="00B73088">
        <w:rPr>
          <w:rFonts w:ascii="Times New Roman" w:hAnsi="Times New Roman" w:cs="Times New Roman"/>
          <w:sz w:val="24"/>
          <w:szCs w:val="24"/>
        </w:rPr>
        <w:t xml:space="preserve"> </w:t>
      </w:r>
      <w:r w:rsidR="000C74B2">
        <w:rPr>
          <w:rFonts w:ascii="Times New Roman" w:hAnsi="Times New Roman" w:cs="Times New Roman"/>
          <w:sz w:val="24"/>
          <w:szCs w:val="24"/>
        </w:rPr>
        <w:t>посвящённых</w:t>
      </w:r>
      <w:r w:rsidRPr="009231A5">
        <w:rPr>
          <w:rFonts w:ascii="Times New Roman" w:hAnsi="Times New Roman" w:cs="Times New Roman"/>
          <w:sz w:val="24"/>
          <w:szCs w:val="24"/>
        </w:rPr>
        <w:t xml:space="preserve"> выявлению рисков;</w:t>
      </w:r>
    </w:p>
    <w:p w14:paraId="398FDE6D" w14:textId="3087D41D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В рамках </w:t>
      </w:r>
      <w:r w:rsidR="000C74B2">
        <w:rPr>
          <w:rFonts w:ascii="Times New Roman" w:hAnsi="Times New Roman" w:cs="Times New Roman"/>
          <w:sz w:val="24"/>
          <w:szCs w:val="24"/>
        </w:rPr>
        <w:t>обсуждения вопросов</w:t>
      </w:r>
      <w:r w:rsidRPr="009231A5">
        <w:rPr>
          <w:rFonts w:ascii="Times New Roman" w:hAnsi="Times New Roman" w:cs="Times New Roman"/>
          <w:sz w:val="24"/>
          <w:szCs w:val="24"/>
        </w:rPr>
        <w:t xml:space="preserve"> планирования и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бюджетирования на год. </w:t>
      </w:r>
      <w:r w:rsidR="000C74B2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9231A5">
        <w:rPr>
          <w:rFonts w:ascii="Times New Roman" w:hAnsi="Times New Roman" w:cs="Times New Roman"/>
          <w:sz w:val="24"/>
          <w:szCs w:val="24"/>
        </w:rPr>
        <w:t xml:space="preserve"> отвечает за подготовку и координацию части</w:t>
      </w:r>
      <w:r w:rsidR="00B73088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обсуждения, посвящённой выявлению рисков;</w:t>
      </w:r>
    </w:p>
    <w:p w14:paraId="3CBEC0D4" w14:textId="46DCB9CD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6.1.3. Для выявления рисков используется </w:t>
      </w:r>
      <w:r w:rsidR="000C74B2">
        <w:rPr>
          <w:rFonts w:ascii="Times New Roman" w:hAnsi="Times New Roman" w:cs="Times New Roman"/>
          <w:sz w:val="24"/>
          <w:szCs w:val="24"/>
        </w:rPr>
        <w:t xml:space="preserve">обобщённый </w:t>
      </w:r>
      <w:r w:rsidRPr="009231A5">
        <w:rPr>
          <w:rFonts w:ascii="Times New Roman" w:hAnsi="Times New Roman" w:cs="Times New Roman"/>
          <w:sz w:val="24"/>
          <w:szCs w:val="24"/>
        </w:rPr>
        <w:t>классификатор рисков (Приложение 1). В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классификаторе рисков представлены типовые риски, которые необходимо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учитывать в процессе выявления рисков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="001D2977">
        <w:rPr>
          <w:rFonts w:ascii="Times New Roman" w:hAnsi="Times New Roman" w:cs="Times New Roman"/>
          <w:sz w:val="24"/>
          <w:szCs w:val="24"/>
        </w:rPr>
        <w:t>, а также их возможные владельцы</w:t>
      </w:r>
      <w:r w:rsidRPr="009231A5">
        <w:rPr>
          <w:rFonts w:ascii="Times New Roman" w:hAnsi="Times New Roman" w:cs="Times New Roman"/>
          <w:sz w:val="24"/>
          <w:szCs w:val="24"/>
        </w:rPr>
        <w:t>. Руководители структурных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подразделений могут использовать классификатор как в рамках индивидуальных</w:t>
      </w:r>
      <w:r w:rsidR="000225E7">
        <w:rPr>
          <w:rFonts w:ascii="Times New Roman" w:hAnsi="Times New Roman" w:cs="Times New Roman"/>
          <w:sz w:val="24"/>
          <w:szCs w:val="24"/>
        </w:rPr>
        <w:t xml:space="preserve"> совещаний</w:t>
      </w:r>
      <w:r w:rsidRPr="009231A5">
        <w:rPr>
          <w:rFonts w:ascii="Times New Roman" w:hAnsi="Times New Roman" w:cs="Times New Roman"/>
          <w:sz w:val="24"/>
          <w:szCs w:val="24"/>
        </w:rPr>
        <w:t>, так и при участии в коллективном обсуждении.</w:t>
      </w:r>
    </w:p>
    <w:p w14:paraId="5EFA0DA0" w14:textId="674E4041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Классификатор рисков не является исчерпывающим и не может служить заменой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процессу идентификации рисков, описанному в настоящем разделе.</w:t>
      </w:r>
    </w:p>
    <w:p w14:paraId="04C741F3" w14:textId="3A038DE1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6.1.4. По итогам выявления рисков </w:t>
      </w:r>
      <w:r w:rsidR="000C74B2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="000C74B2" w:rsidRPr="009231A5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агрегирует информацию о выявленных</w:t>
      </w:r>
      <w:r w:rsidR="0032566D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рисках для последующей оценки и управления.</w:t>
      </w:r>
    </w:p>
    <w:p w14:paraId="5174EF56" w14:textId="77777777" w:rsidR="001E4BF3" w:rsidRPr="000225E7" w:rsidRDefault="001E4BF3" w:rsidP="000A1F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E7">
        <w:rPr>
          <w:rFonts w:ascii="Times New Roman" w:hAnsi="Times New Roman" w:cs="Times New Roman"/>
          <w:b/>
          <w:sz w:val="24"/>
          <w:szCs w:val="24"/>
        </w:rPr>
        <w:t>6.2. Оценка рисков</w:t>
      </w:r>
    </w:p>
    <w:p w14:paraId="1414DE12" w14:textId="70345EF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6.2.1. Оценка рисков проводится с целью определения уровня рисков и выделения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наиболее значимых (критических) рисков, которые могут негативно влиять на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и достижение его стратегических целей.</w:t>
      </w:r>
    </w:p>
    <w:p w14:paraId="06820D98" w14:textId="21A91E3A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6.2.2. Оценка выявленных рисков осуществляется владельцами рисков и </w:t>
      </w:r>
      <w:proofErr w:type="spellStart"/>
      <w:r w:rsidRPr="009231A5">
        <w:rPr>
          <w:rFonts w:ascii="Times New Roman" w:hAnsi="Times New Roman" w:cs="Times New Roman"/>
          <w:sz w:val="24"/>
          <w:szCs w:val="24"/>
        </w:rPr>
        <w:t>агрегируется</w:t>
      </w:r>
      <w:proofErr w:type="spellEnd"/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="00EA4846">
        <w:rPr>
          <w:rFonts w:ascii="Times New Roman" w:hAnsi="Times New Roman" w:cs="Times New Roman"/>
          <w:sz w:val="24"/>
          <w:szCs w:val="24"/>
        </w:rPr>
        <w:t>Управляющей компанией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4650417B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6.2.3. Оценка рисков может осуществляться следующими способами:</w:t>
      </w:r>
    </w:p>
    <w:p w14:paraId="30B0F363" w14:textId="76C028DC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Коллективно, в формате рабочего совещания по оценке рисков, на котором руководители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EA4846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 оценивают риски при поддержке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="00EA4846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Pr="009231A5">
        <w:rPr>
          <w:rFonts w:ascii="Times New Roman" w:hAnsi="Times New Roman" w:cs="Times New Roman"/>
          <w:sz w:val="24"/>
          <w:szCs w:val="24"/>
        </w:rPr>
        <w:t>;</w:t>
      </w:r>
    </w:p>
    <w:p w14:paraId="5BC0A22B" w14:textId="4BEA37D0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6.2.4. Для каждого выявленного риска необходимо оценить ущерб для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от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реализации такого риска и вероятность его реализации.</w:t>
      </w:r>
    </w:p>
    <w:p w14:paraId="081A3A12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6.2.5. Ущерб от реализации риска оценивается по трехбалльной шкале:</w:t>
      </w:r>
    </w:p>
    <w:p w14:paraId="5F304EAA" w14:textId="2605BEA5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lastRenderedPageBreak/>
        <w:t> Высокий – реализация риска может привести к существенному (выше 20%) снижению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доходов или увеличению расходов компании и/или значительному репутационному ущербу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для компании;</w:t>
      </w:r>
    </w:p>
    <w:p w14:paraId="43212A85" w14:textId="61550E6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Средний – реализация риска может привести к среднему (5-20%) снижению доходов или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увеличению расходов компании и/или несущественному репутационному ущербу;</w:t>
      </w:r>
    </w:p>
    <w:p w14:paraId="11E8BE0B" w14:textId="50D572B3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Низкий – реализация риска может привести к несущественному (&lt;5%) снижению доходов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или увеличению расходов компании.</w:t>
      </w:r>
    </w:p>
    <w:p w14:paraId="28CF5608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6.2.6. Вероятность реализации риска оценивается по трехбалльной шкале:</w:t>
      </w:r>
    </w:p>
    <w:p w14:paraId="2180EEFE" w14:textId="4442D82C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Высокая – риск уже неоднократно реализовывался в прошлом, есть высокая степень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неопределенности относительно вероятности реализации риска или внутренние или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внешние предпосылки, указывающие на то, что риск, скорее всего, реализуется в течение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года;</w:t>
      </w:r>
    </w:p>
    <w:p w14:paraId="6A5D45CF" w14:textId="77777777" w:rsidR="001E4BF3" w:rsidRPr="009231A5" w:rsidRDefault="001E4BF3" w:rsidP="000A1F5E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Средняя – риск, вероятно, реализуется в течение года;</w:t>
      </w:r>
    </w:p>
    <w:p w14:paraId="51B8E263" w14:textId="7E823D97" w:rsidR="0033769C" w:rsidRDefault="001E4BF3" w:rsidP="00EA4846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Низкая – маловероятно, что риск реализуется в течение года.</w:t>
      </w:r>
    </w:p>
    <w:p w14:paraId="4C799497" w14:textId="20675B60" w:rsidR="001E4BF3" w:rsidRPr="009231A5" w:rsidRDefault="00EA4846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</w:t>
      </w:r>
      <w:r w:rsidR="001E4BF3" w:rsidRPr="009231A5">
        <w:rPr>
          <w:rFonts w:ascii="Times New Roman" w:hAnsi="Times New Roman" w:cs="Times New Roman"/>
          <w:sz w:val="24"/>
          <w:szCs w:val="24"/>
        </w:rPr>
        <w:t xml:space="preserve">. По результатам оценки риски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="001E4BF3" w:rsidRPr="009231A5">
        <w:rPr>
          <w:rFonts w:ascii="Times New Roman" w:hAnsi="Times New Roman" w:cs="Times New Roman"/>
          <w:sz w:val="24"/>
          <w:szCs w:val="24"/>
        </w:rPr>
        <w:t xml:space="preserve"> можно разделить на три уровня:</w:t>
      </w:r>
    </w:p>
    <w:p w14:paraId="380821CC" w14:textId="1EB9EF37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Высокие риски – такие риски являются неприемлемыми для </w:t>
      </w:r>
      <w:r w:rsidR="002839D3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и требуют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активных действий менеджмента. Решения по снижению таких рисков принимаются на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2839D3" w:rsidRPr="000225E7">
        <w:rPr>
          <w:rFonts w:ascii="Times New Roman" w:hAnsi="Times New Roman" w:cs="Times New Roman"/>
          <w:sz w:val="24"/>
          <w:szCs w:val="24"/>
        </w:rPr>
        <w:t>Совета директоров/Управляющей компании</w:t>
      </w:r>
      <w:r w:rsidRPr="009231A5">
        <w:rPr>
          <w:rFonts w:ascii="Times New Roman" w:hAnsi="Times New Roman" w:cs="Times New Roman"/>
          <w:sz w:val="24"/>
          <w:szCs w:val="24"/>
        </w:rPr>
        <w:t>. Решени</w:t>
      </w:r>
      <w:r w:rsidR="00EA4846">
        <w:rPr>
          <w:rFonts w:ascii="Times New Roman" w:hAnsi="Times New Roman" w:cs="Times New Roman"/>
          <w:sz w:val="24"/>
          <w:szCs w:val="24"/>
        </w:rPr>
        <w:t>я по этим рискам имеют наивысший</w:t>
      </w:r>
      <w:r w:rsidRPr="009231A5">
        <w:rPr>
          <w:rFonts w:ascii="Times New Roman" w:hAnsi="Times New Roman" w:cs="Times New Roman"/>
          <w:sz w:val="24"/>
          <w:szCs w:val="24"/>
        </w:rPr>
        <w:t xml:space="preserve"> приоритет</w:t>
      </w:r>
      <w:r w:rsidR="00EA4846">
        <w:rPr>
          <w:rFonts w:ascii="Times New Roman" w:hAnsi="Times New Roman" w:cs="Times New Roman"/>
          <w:sz w:val="24"/>
          <w:szCs w:val="24"/>
        </w:rPr>
        <w:t xml:space="preserve"> для</w:t>
      </w:r>
      <w:r w:rsidR="000225E7">
        <w:rPr>
          <w:rFonts w:ascii="Times New Roman" w:hAnsi="Times New Roman" w:cs="Times New Roman"/>
          <w:sz w:val="24"/>
          <w:szCs w:val="24"/>
        </w:rPr>
        <w:t xml:space="preserve"> Упра</w:t>
      </w:r>
      <w:r w:rsidR="00EA4846">
        <w:rPr>
          <w:rFonts w:ascii="Times New Roman" w:hAnsi="Times New Roman" w:cs="Times New Roman"/>
          <w:sz w:val="24"/>
          <w:szCs w:val="24"/>
        </w:rPr>
        <w:t>вляющей компании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по срокам реализации и обеспечению финансовыми ресурсами;</w:t>
      </w:r>
    </w:p>
    <w:p w14:paraId="50F8CA10" w14:textId="2D6A14A2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Средние риски – решения в отношении таких рисков принимаются на уровне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proofErr w:type="gramStart"/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31A5">
        <w:rPr>
          <w:rFonts w:ascii="Times New Roman" w:hAnsi="Times New Roman" w:cs="Times New Roman"/>
          <w:sz w:val="24"/>
          <w:szCs w:val="24"/>
        </w:rPr>
        <w:t xml:space="preserve"> Сроки выполнения решений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устанавливаются исходя из доступности и графика финансирования управленческих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решений, а также оптимального времени, необходимого для внедрения конкретного</w:t>
      </w:r>
      <w:r w:rsidR="005A09CF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мероприятия;</w:t>
      </w:r>
    </w:p>
    <w:p w14:paraId="1E4E5B3E" w14:textId="7EE6ED73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Низкие риски – эти риски приемлемы для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и не требуют серьезного</w:t>
      </w:r>
      <w:r w:rsidR="009B702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финансирования. Принимаемые решения ограничиваются внедрением процедур и закупок</w:t>
      </w:r>
      <w:r w:rsidR="009B702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небольших объемов товаров и услуг, обеспечивающих предупреждение и уменьшение негативных последствий наступления риска. Определяются границы риска, и</w:t>
      </w:r>
      <w:r w:rsidR="009B702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осуществляется мониторинг риска для принятия действия в случае изменения уровня риска.</w:t>
      </w:r>
    </w:p>
    <w:p w14:paraId="43E1F797" w14:textId="2F4270D9" w:rsidR="001E4BF3" w:rsidRPr="009231A5" w:rsidRDefault="00EA4846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6.2.8</w:t>
      </w:r>
      <w:r w:rsidR="001E4BF3" w:rsidRPr="009231A5">
        <w:rPr>
          <w:rFonts w:ascii="Times New Roman" w:hAnsi="Times New Roman" w:cs="Times New Roman"/>
          <w:sz w:val="24"/>
          <w:szCs w:val="24"/>
        </w:rPr>
        <w:t xml:space="preserve">. Информация, полученная в рамках процесса оценки рисков, </w:t>
      </w:r>
      <w:proofErr w:type="spellStart"/>
      <w:r w:rsidR="001E4BF3" w:rsidRPr="009231A5">
        <w:rPr>
          <w:rFonts w:ascii="Times New Roman" w:hAnsi="Times New Roman" w:cs="Times New Roman"/>
          <w:sz w:val="24"/>
          <w:szCs w:val="24"/>
        </w:rPr>
        <w:t>агрегируется</w:t>
      </w:r>
      <w:proofErr w:type="spellEnd"/>
      <w:r w:rsidR="009B702E">
        <w:rPr>
          <w:rFonts w:ascii="Times New Roman" w:hAnsi="Times New Roman" w:cs="Times New Roman"/>
          <w:sz w:val="24"/>
          <w:szCs w:val="24"/>
        </w:rPr>
        <w:t xml:space="preserve"> </w:t>
      </w:r>
      <w:r w:rsidR="001E4BF3" w:rsidRPr="009231A5">
        <w:rPr>
          <w:rFonts w:ascii="Times New Roman" w:hAnsi="Times New Roman" w:cs="Times New Roman"/>
          <w:sz w:val="24"/>
          <w:szCs w:val="24"/>
        </w:rPr>
        <w:t xml:space="preserve">и отражается в реестре рисков (Приложение </w:t>
      </w:r>
      <w:r w:rsidR="001D2977">
        <w:rPr>
          <w:rFonts w:ascii="Times New Roman" w:hAnsi="Times New Roman" w:cs="Times New Roman"/>
          <w:sz w:val="24"/>
          <w:szCs w:val="24"/>
        </w:rPr>
        <w:t>2</w:t>
      </w:r>
      <w:r w:rsidR="001E4BF3" w:rsidRPr="009231A5">
        <w:rPr>
          <w:rFonts w:ascii="Times New Roman" w:hAnsi="Times New Roman" w:cs="Times New Roman"/>
          <w:sz w:val="24"/>
          <w:szCs w:val="24"/>
        </w:rPr>
        <w:t>).</w:t>
      </w:r>
    </w:p>
    <w:p w14:paraId="21603CB2" w14:textId="2F90F307" w:rsidR="001E4BF3" w:rsidRPr="009231A5" w:rsidRDefault="00EA4846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6.2.9</w:t>
      </w:r>
      <w:r w:rsidR="001E4BF3" w:rsidRPr="009231A5">
        <w:rPr>
          <w:rFonts w:ascii="Times New Roman" w:hAnsi="Times New Roman" w:cs="Times New Roman"/>
          <w:sz w:val="24"/>
          <w:szCs w:val="24"/>
        </w:rPr>
        <w:t>. По результатам идентификации и оценки рисков, реестр рисков</w:t>
      </w:r>
      <w:r w:rsidR="009B7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</w:t>
      </w:r>
      <w:r w:rsidR="001E4BF3" w:rsidRPr="009231A5">
        <w:rPr>
          <w:rFonts w:ascii="Times New Roman" w:hAnsi="Times New Roman" w:cs="Times New Roman"/>
          <w:sz w:val="24"/>
          <w:szCs w:val="24"/>
        </w:rPr>
        <w:t xml:space="preserve">тся </w:t>
      </w:r>
      <w:r w:rsidR="000225E7">
        <w:rPr>
          <w:rFonts w:ascii="Times New Roman" w:hAnsi="Times New Roman" w:cs="Times New Roman"/>
          <w:sz w:val="24"/>
          <w:szCs w:val="24"/>
        </w:rPr>
        <w:t>в Управляющую компанию</w:t>
      </w:r>
      <w:r w:rsidR="001E4BF3" w:rsidRPr="009231A5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14:paraId="38DFCA42" w14:textId="40141982" w:rsidR="001E4BF3" w:rsidRPr="009231A5" w:rsidRDefault="00EA4846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6.2.10. Согласованный </w:t>
      </w:r>
      <w:r w:rsidR="001E4BF3" w:rsidRPr="009231A5">
        <w:rPr>
          <w:rFonts w:ascii="Times New Roman" w:hAnsi="Times New Roman" w:cs="Times New Roman"/>
          <w:sz w:val="24"/>
          <w:szCs w:val="24"/>
        </w:rPr>
        <w:t xml:space="preserve">реестр рисков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="001E4BF3" w:rsidRPr="009231A5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>
        <w:rPr>
          <w:rFonts w:ascii="Times New Roman" w:hAnsi="Times New Roman" w:cs="Times New Roman"/>
          <w:sz w:val="24"/>
          <w:szCs w:val="24"/>
        </w:rPr>
        <w:t>на предприятия Группы</w:t>
      </w:r>
      <w:r w:rsidR="009B702E">
        <w:rPr>
          <w:rFonts w:ascii="Times New Roman" w:hAnsi="Times New Roman" w:cs="Times New Roman"/>
          <w:sz w:val="24"/>
          <w:szCs w:val="24"/>
        </w:rPr>
        <w:t xml:space="preserve"> </w:t>
      </w:r>
      <w:r w:rsidR="001E4BF3" w:rsidRPr="009231A5">
        <w:rPr>
          <w:rFonts w:ascii="Times New Roman" w:hAnsi="Times New Roman" w:cs="Times New Roman"/>
          <w:sz w:val="24"/>
          <w:szCs w:val="24"/>
        </w:rPr>
        <w:t>для использования в процессах бюджетирования, целеполагания и разработки</w:t>
      </w:r>
      <w:r w:rsidR="009B702E">
        <w:rPr>
          <w:rFonts w:ascii="Times New Roman" w:hAnsi="Times New Roman" w:cs="Times New Roman"/>
          <w:sz w:val="24"/>
          <w:szCs w:val="24"/>
        </w:rPr>
        <w:t xml:space="preserve"> </w:t>
      </w:r>
      <w:r w:rsidR="001E4BF3" w:rsidRPr="009231A5">
        <w:rPr>
          <w:rFonts w:ascii="Times New Roman" w:hAnsi="Times New Roman" w:cs="Times New Roman"/>
          <w:sz w:val="24"/>
          <w:szCs w:val="24"/>
        </w:rPr>
        <w:t>мероприятий по управлению рисками.</w:t>
      </w:r>
    </w:p>
    <w:p w14:paraId="7C5F0F07" w14:textId="77777777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6.3. Разработка и внедрение мероприятий по управлению рисками</w:t>
      </w:r>
    </w:p>
    <w:p w14:paraId="3766B501" w14:textId="49926E11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6.3.1. Для </w:t>
      </w:r>
      <w:r w:rsidR="0076265F">
        <w:rPr>
          <w:rFonts w:ascii="Times New Roman" w:hAnsi="Times New Roman" w:cs="Times New Roman"/>
          <w:sz w:val="24"/>
          <w:szCs w:val="24"/>
        </w:rPr>
        <w:t>существенных рисков</w:t>
      </w:r>
      <w:r w:rsidRPr="009231A5">
        <w:rPr>
          <w:rFonts w:ascii="Times New Roman" w:hAnsi="Times New Roman" w:cs="Times New Roman"/>
          <w:sz w:val="24"/>
          <w:szCs w:val="24"/>
        </w:rPr>
        <w:t xml:space="preserve"> разрабатывают</w:t>
      </w:r>
      <w:r w:rsidR="009B702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планы мероприятий по управлению этими рисками, включая сроки реализации и</w:t>
      </w:r>
      <w:r w:rsidR="009B702E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ответственных лиц.</w:t>
      </w:r>
    </w:p>
    <w:p w14:paraId="63752C26" w14:textId="5CAB209E" w:rsidR="001E4BF3" w:rsidRPr="009231A5" w:rsidRDefault="0076265F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6.3.2</w:t>
      </w:r>
      <w:r w:rsidR="001E4BF3" w:rsidRPr="009231A5">
        <w:rPr>
          <w:rFonts w:ascii="Times New Roman" w:hAnsi="Times New Roman" w:cs="Times New Roman"/>
          <w:sz w:val="24"/>
          <w:szCs w:val="24"/>
        </w:rPr>
        <w:t>. Мероприятия по управлению рисками должны быть разработаны на основании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="001E4BF3" w:rsidRPr="009231A5">
        <w:rPr>
          <w:rFonts w:ascii="Times New Roman" w:hAnsi="Times New Roman" w:cs="Times New Roman"/>
          <w:sz w:val="24"/>
          <w:szCs w:val="24"/>
        </w:rPr>
        <w:t>одного из следующих методов:</w:t>
      </w:r>
    </w:p>
    <w:p w14:paraId="3FDB3DCA" w14:textId="5A177BC8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Уклонение от риска – уклонение/избежание риска подразумевает отказ от совершения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тех или иных действий, отказ от активов, характеризующихся высоким риском. Уклонение от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риска применяется в исключительных случаях как способ покрытия рисков и используется,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когда стоимость воздействия на риск слишком высока либо такое воздействие не приведет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к снижению риска до приемлемого уровня, а также когда риск невозможно или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неэффективно передать третьей стороне;</w:t>
      </w:r>
    </w:p>
    <w:p w14:paraId="617A3068" w14:textId="2B77BE0D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Снижение риска – воздействие на риск путем снижения вероятности реализации риска и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(или) снижения негативных последствий в случае реализации риска в будущем;</w:t>
      </w:r>
    </w:p>
    <w:p w14:paraId="300DF6EB" w14:textId="580E089F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Перенос (перераспределение) риска – передача или частичная передача риска другой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стороне (например, путем заключения договоров страхования, хеджирования, аутсорсинга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и др.), позволяющая уменьшить негативное влияние на достижение целей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3543DF3C" w14:textId="7E8E29CC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Принятие риска – </w:t>
      </w:r>
      <w:r w:rsidR="006D342D">
        <w:rPr>
          <w:rFonts w:ascii="Times New Roman" w:hAnsi="Times New Roman" w:cs="Times New Roman"/>
          <w:sz w:val="24"/>
          <w:szCs w:val="24"/>
        </w:rPr>
        <w:t>Компания</w:t>
      </w:r>
      <w:r w:rsidRPr="009231A5">
        <w:rPr>
          <w:rFonts w:ascii="Times New Roman" w:hAnsi="Times New Roman" w:cs="Times New Roman"/>
          <w:sz w:val="24"/>
          <w:szCs w:val="24"/>
        </w:rPr>
        <w:t xml:space="preserve"> допускает возможное наступление неблагоприятных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последствий риска с определением конкретных источников покрытия ущерба от таких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последствий.</w:t>
      </w:r>
    </w:p>
    <w:p w14:paraId="1EAD1CFC" w14:textId="0CA0EBA9" w:rsidR="001E4BF3" w:rsidRPr="009231A5" w:rsidRDefault="0076265F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</w:t>
      </w:r>
      <w:r w:rsidR="001E4BF3" w:rsidRPr="009231A5">
        <w:rPr>
          <w:rFonts w:ascii="Times New Roman" w:hAnsi="Times New Roman" w:cs="Times New Roman"/>
          <w:sz w:val="24"/>
          <w:szCs w:val="24"/>
        </w:rPr>
        <w:t>. Наиболее приемлемым способом управления риском является уклонение или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="001E4BF3" w:rsidRPr="009231A5">
        <w:rPr>
          <w:rFonts w:ascii="Times New Roman" w:hAnsi="Times New Roman" w:cs="Times New Roman"/>
          <w:sz w:val="24"/>
          <w:szCs w:val="24"/>
        </w:rPr>
        <w:t>снижение риска. Если снижение риска невозможно или нецелесообразно,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="001E4BF3" w:rsidRPr="009231A5">
        <w:rPr>
          <w:rFonts w:ascii="Times New Roman" w:hAnsi="Times New Roman" w:cs="Times New Roman"/>
          <w:sz w:val="24"/>
          <w:szCs w:val="24"/>
        </w:rPr>
        <w:t>сотрудники структурных подразделений должны разработать альтернативные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="001E4BF3" w:rsidRPr="009231A5">
        <w:rPr>
          <w:rFonts w:ascii="Times New Roman" w:hAnsi="Times New Roman" w:cs="Times New Roman"/>
          <w:sz w:val="24"/>
          <w:szCs w:val="24"/>
        </w:rPr>
        <w:t>мероприятия по переносу либо принятию риска. Наименее эффективным способом</w:t>
      </w:r>
      <w:r w:rsidR="007441AC">
        <w:rPr>
          <w:rFonts w:ascii="Times New Roman" w:hAnsi="Times New Roman" w:cs="Times New Roman"/>
          <w:sz w:val="24"/>
          <w:szCs w:val="24"/>
        </w:rPr>
        <w:t xml:space="preserve"> </w:t>
      </w:r>
      <w:r w:rsidR="001E4BF3" w:rsidRPr="009231A5">
        <w:rPr>
          <w:rFonts w:ascii="Times New Roman" w:hAnsi="Times New Roman" w:cs="Times New Roman"/>
          <w:sz w:val="24"/>
          <w:szCs w:val="24"/>
        </w:rPr>
        <w:t>управления риском является принятие риска.</w:t>
      </w:r>
    </w:p>
    <w:p w14:paraId="17348254" w14:textId="77777777" w:rsidR="001E4BF3" w:rsidRPr="000225E7" w:rsidRDefault="001E4BF3" w:rsidP="002839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5E7">
        <w:rPr>
          <w:rFonts w:ascii="Times New Roman" w:hAnsi="Times New Roman" w:cs="Times New Roman"/>
          <w:b/>
          <w:sz w:val="24"/>
          <w:szCs w:val="24"/>
        </w:rPr>
        <w:t>6.4. Мониторинг рисков</w:t>
      </w:r>
    </w:p>
    <w:p w14:paraId="50C0C0F2" w14:textId="22157677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6.4.1. В рамках мониторинга реестр</w:t>
      </w:r>
      <w:r w:rsidR="0076265F">
        <w:rPr>
          <w:rFonts w:ascii="Times New Roman" w:hAnsi="Times New Roman" w:cs="Times New Roman"/>
          <w:sz w:val="24"/>
          <w:szCs w:val="24"/>
        </w:rPr>
        <w:t>а</w:t>
      </w:r>
      <w:r w:rsidRPr="009231A5">
        <w:rPr>
          <w:rFonts w:ascii="Times New Roman" w:hAnsi="Times New Roman" w:cs="Times New Roman"/>
          <w:sz w:val="24"/>
          <w:szCs w:val="24"/>
        </w:rPr>
        <w:t xml:space="preserve">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(включая мероприятия по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управлению рисками) актуализируются не реже одного раза в </w:t>
      </w:r>
      <w:r w:rsidR="000225E7">
        <w:rPr>
          <w:rFonts w:ascii="Times New Roman" w:hAnsi="Times New Roman" w:cs="Times New Roman"/>
          <w:sz w:val="24"/>
          <w:szCs w:val="24"/>
        </w:rPr>
        <w:t>год</w:t>
      </w:r>
      <w:r w:rsidRPr="009231A5">
        <w:rPr>
          <w:rFonts w:ascii="Times New Roman" w:hAnsi="Times New Roman" w:cs="Times New Roman"/>
          <w:sz w:val="24"/>
          <w:szCs w:val="24"/>
        </w:rPr>
        <w:t>. При этом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="00BB06F8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9231A5">
        <w:rPr>
          <w:rFonts w:ascii="Times New Roman" w:hAnsi="Times New Roman" w:cs="Times New Roman"/>
          <w:sz w:val="24"/>
          <w:szCs w:val="24"/>
        </w:rPr>
        <w:t xml:space="preserve">, а также любой сотрудник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, вправе внепланово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инициировать процесс пересмотра рисков, если это необходимо.</w:t>
      </w:r>
    </w:p>
    <w:p w14:paraId="0DB6EF37" w14:textId="77777777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6.4.2. В рамках мониторинга рисков:</w:t>
      </w:r>
    </w:p>
    <w:p w14:paraId="323586EF" w14:textId="009C5451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Идентифицируются новые риски, не документированные в карте и реестре рисков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;</w:t>
      </w:r>
    </w:p>
    <w:p w14:paraId="4A86579D" w14:textId="77777777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Пересматривается оценка уровня риска;</w:t>
      </w:r>
    </w:p>
    <w:p w14:paraId="1E036416" w14:textId="47A03E2E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Рассматривается статус внедрения и эффективность мероприятий по управлению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рисками. При необходимости разрабатываются дополнительные мероприятия по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управлению рисками.</w:t>
      </w:r>
    </w:p>
    <w:p w14:paraId="0323507A" w14:textId="77777777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6.5. Отчетность о рисках</w:t>
      </w:r>
    </w:p>
    <w:p w14:paraId="44B82278" w14:textId="50D32F2E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BB06F8">
        <w:rPr>
          <w:rFonts w:ascii="Times New Roman" w:hAnsi="Times New Roman" w:cs="Times New Roman"/>
          <w:sz w:val="24"/>
          <w:szCs w:val="24"/>
        </w:rPr>
        <w:t xml:space="preserve">6.5.1.  </w:t>
      </w:r>
      <w:r w:rsidR="00BB06F8" w:rsidRPr="00BB06F8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="000225E7" w:rsidRPr="00BB06F8">
        <w:rPr>
          <w:rFonts w:ascii="Times New Roman" w:hAnsi="Times New Roman" w:cs="Times New Roman"/>
          <w:sz w:val="24"/>
          <w:szCs w:val="24"/>
        </w:rPr>
        <w:t>на периодической основе</w:t>
      </w:r>
      <w:r w:rsidR="009A7D9E" w:rsidRPr="00BB06F8">
        <w:rPr>
          <w:rFonts w:ascii="Times New Roman" w:hAnsi="Times New Roman" w:cs="Times New Roman"/>
          <w:sz w:val="24"/>
          <w:szCs w:val="24"/>
        </w:rPr>
        <w:t xml:space="preserve"> </w:t>
      </w:r>
      <w:r w:rsidRPr="00BB06F8">
        <w:rPr>
          <w:rFonts w:ascii="Times New Roman" w:hAnsi="Times New Roman" w:cs="Times New Roman"/>
          <w:sz w:val="24"/>
          <w:szCs w:val="24"/>
        </w:rPr>
        <w:t xml:space="preserve">готовит отчет для </w:t>
      </w:r>
      <w:r w:rsidR="00BB06F8" w:rsidRPr="00BB06F8">
        <w:rPr>
          <w:rFonts w:ascii="Times New Roman" w:hAnsi="Times New Roman" w:cs="Times New Roman"/>
          <w:sz w:val="24"/>
          <w:szCs w:val="24"/>
        </w:rPr>
        <w:t>Совета директоров</w:t>
      </w:r>
      <w:r w:rsidRPr="00BB06F8">
        <w:rPr>
          <w:rFonts w:ascii="Times New Roman" w:hAnsi="Times New Roman" w:cs="Times New Roman"/>
          <w:sz w:val="24"/>
          <w:szCs w:val="24"/>
        </w:rPr>
        <w:t xml:space="preserve">, который включает </w:t>
      </w:r>
      <w:r w:rsidR="009A7D9E" w:rsidRPr="00BB06F8">
        <w:rPr>
          <w:rFonts w:ascii="Times New Roman" w:hAnsi="Times New Roman" w:cs="Times New Roman"/>
          <w:sz w:val="24"/>
          <w:szCs w:val="24"/>
        </w:rPr>
        <w:t>анализ отдельных актуальных рисков</w:t>
      </w:r>
      <w:r w:rsidRPr="00BB06F8">
        <w:rPr>
          <w:rFonts w:ascii="Times New Roman" w:hAnsi="Times New Roman" w:cs="Times New Roman"/>
          <w:sz w:val="24"/>
          <w:szCs w:val="24"/>
        </w:rPr>
        <w:t>:</w:t>
      </w:r>
    </w:p>
    <w:p w14:paraId="179FD2AD" w14:textId="77777777" w:rsidR="001E4BF3" w:rsidRPr="00A9748A" w:rsidRDefault="001E4BF3" w:rsidP="002839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8A">
        <w:rPr>
          <w:rFonts w:ascii="Times New Roman" w:hAnsi="Times New Roman" w:cs="Times New Roman"/>
          <w:b/>
          <w:bCs/>
          <w:sz w:val="24"/>
          <w:szCs w:val="24"/>
        </w:rPr>
        <w:t>7. РАЗВИТИЕ КУЛЬТУРЫ УПРАВЛЕНИЯ РИСКАМИ</w:t>
      </w:r>
    </w:p>
    <w:p w14:paraId="5DE37BE8" w14:textId="5E5618F6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7.1. Для развития культуры управления рисками в </w:t>
      </w:r>
      <w:r w:rsidR="006D342D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проводятся мероприятия по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укреплению компетенций работников в области управления рисками, в том числе:</w:t>
      </w:r>
    </w:p>
    <w:p w14:paraId="17AB8B2F" w14:textId="4C5ECD0C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Вновь принятым работникам </w:t>
      </w:r>
      <w:r w:rsidR="001814A0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</w:t>
      </w:r>
      <w:r w:rsidR="006B4DAE">
        <w:rPr>
          <w:rFonts w:ascii="Times New Roman" w:hAnsi="Times New Roman" w:cs="Times New Roman"/>
          <w:sz w:val="24"/>
          <w:szCs w:val="24"/>
        </w:rPr>
        <w:t>разъясняется политика</w:t>
      </w:r>
      <w:r w:rsidRPr="009231A5">
        <w:rPr>
          <w:rFonts w:ascii="Times New Roman" w:hAnsi="Times New Roman" w:cs="Times New Roman"/>
          <w:sz w:val="24"/>
          <w:szCs w:val="24"/>
        </w:rPr>
        <w:t xml:space="preserve"> об управлении рисками.</w:t>
      </w:r>
    </w:p>
    <w:p w14:paraId="20828DB3" w14:textId="54F335D5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lastRenderedPageBreak/>
        <w:t> Подготовку и обновление обучающих и информационных материалов, а также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привлечение сторонних организаций для проведения обучающих мероприятий в области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 xml:space="preserve">управления рисками курирует </w:t>
      </w:r>
      <w:r w:rsidR="00DD5158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4B82C0B4" w14:textId="77777777" w:rsidR="001E4BF3" w:rsidRPr="00A9748A" w:rsidRDefault="001E4BF3" w:rsidP="002839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8A">
        <w:rPr>
          <w:rFonts w:ascii="Times New Roman" w:hAnsi="Times New Roman" w:cs="Times New Roman"/>
          <w:b/>
          <w:bCs/>
          <w:sz w:val="24"/>
          <w:szCs w:val="24"/>
        </w:rPr>
        <w:t>8. СОВЕРШЕНСТВОВАНИЕ</w:t>
      </w:r>
    </w:p>
    <w:p w14:paraId="13CFE3DE" w14:textId="0B589989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8.1. Для целей совершенствования управления рисками в </w:t>
      </w:r>
      <w:r w:rsidR="006D342D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 xml:space="preserve"> </w:t>
      </w:r>
      <w:r w:rsidR="00DD5158">
        <w:rPr>
          <w:rFonts w:ascii="Times New Roman" w:hAnsi="Times New Roman" w:cs="Times New Roman"/>
          <w:sz w:val="24"/>
          <w:szCs w:val="24"/>
        </w:rPr>
        <w:t>план по управлению рисками может корректироваться.</w:t>
      </w:r>
      <w:r w:rsidRPr="009231A5">
        <w:rPr>
          <w:rFonts w:ascii="Times New Roman" w:hAnsi="Times New Roman" w:cs="Times New Roman"/>
          <w:sz w:val="24"/>
          <w:szCs w:val="24"/>
        </w:rPr>
        <w:t xml:space="preserve"> В план включаются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мероприятия по дальнейшему совершенствованию управления рисками по</w:t>
      </w:r>
      <w:r w:rsidR="00A259EB"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следующим направлениям:</w:t>
      </w:r>
    </w:p>
    <w:p w14:paraId="296573B2" w14:textId="77777777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распределение обязанностей работников в рамках управления рисками;</w:t>
      </w:r>
    </w:p>
    <w:p w14:paraId="34144869" w14:textId="77777777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 внедрение управления рисками в существующие бизнес-процессы;</w:t>
      </w:r>
    </w:p>
    <w:p w14:paraId="092AA855" w14:textId="177336DE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 развитие культуры управления рисками в </w:t>
      </w:r>
      <w:r w:rsidR="006D342D">
        <w:rPr>
          <w:rFonts w:ascii="Times New Roman" w:hAnsi="Times New Roman" w:cs="Times New Roman"/>
          <w:sz w:val="24"/>
          <w:szCs w:val="24"/>
        </w:rPr>
        <w:t>Компании</w:t>
      </w:r>
      <w:r w:rsidRPr="009231A5">
        <w:rPr>
          <w:rFonts w:ascii="Times New Roman" w:hAnsi="Times New Roman" w:cs="Times New Roman"/>
          <w:sz w:val="24"/>
          <w:szCs w:val="24"/>
        </w:rPr>
        <w:t>.</w:t>
      </w:r>
    </w:p>
    <w:p w14:paraId="44888398" w14:textId="1CBADEC6" w:rsidR="001E4BF3" w:rsidRPr="009231A5" w:rsidRDefault="001E4BF3" w:rsidP="002839D3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8.2. План совершенствования утверждается </w:t>
      </w:r>
      <w:r w:rsidR="00DD5158">
        <w:rPr>
          <w:rFonts w:ascii="Times New Roman" w:hAnsi="Times New Roman" w:cs="Times New Roman"/>
          <w:sz w:val="24"/>
          <w:szCs w:val="24"/>
        </w:rPr>
        <w:t>Управляющей компанией/Советом Директоров.</w:t>
      </w:r>
    </w:p>
    <w:p w14:paraId="15FD46ED" w14:textId="77777777" w:rsidR="001E4BF3" w:rsidRPr="00A9748A" w:rsidRDefault="001E4BF3" w:rsidP="002839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8A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14:paraId="528485C1" w14:textId="62DCBD79" w:rsidR="00DD5158" w:rsidRDefault="001E4BF3" w:rsidP="004B62AF">
      <w:pPr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9.1. Настоящее Положение вступает в силу с момента </w:t>
      </w:r>
      <w:r w:rsidR="004B62AF">
        <w:rPr>
          <w:rFonts w:ascii="Times New Roman" w:hAnsi="Times New Roman" w:cs="Times New Roman"/>
          <w:sz w:val="24"/>
          <w:szCs w:val="24"/>
        </w:rPr>
        <w:t xml:space="preserve">его </w:t>
      </w:r>
      <w:r w:rsidR="00DD5158">
        <w:rPr>
          <w:rFonts w:ascii="Times New Roman" w:hAnsi="Times New Roman" w:cs="Times New Roman"/>
          <w:sz w:val="24"/>
          <w:szCs w:val="24"/>
        </w:rPr>
        <w:t>утверждения</w:t>
      </w:r>
      <w:r w:rsidR="004B62AF">
        <w:rPr>
          <w:rFonts w:ascii="Times New Roman" w:hAnsi="Times New Roman" w:cs="Times New Roman"/>
          <w:sz w:val="24"/>
          <w:szCs w:val="24"/>
        </w:rPr>
        <w:t>.</w:t>
      </w:r>
      <w:r w:rsidR="00DD5158">
        <w:rPr>
          <w:rFonts w:ascii="Times New Roman" w:hAnsi="Times New Roman" w:cs="Times New Roman"/>
          <w:sz w:val="24"/>
          <w:szCs w:val="24"/>
        </w:rPr>
        <w:br w:type="page"/>
      </w:r>
    </w:p>
    <w:p w14:paraId="64A0BB48" w14:textId="77777777" w:rsidR="004466E1" w:rsidRPr="007964C4" w:rsidRDefault="004466E1" w:rsidP="004466E1">
      <w:pPr>
        <w:spacing w:after="0" w:line="240" w:lineRule="auto"/>
        <w:ind w:firstLine="5528"/>
        <w:jc w:val="both"/>
        <w:rPr>
          <w:rFonts w:ascii="Times New Roman" w:hAnsi="Times New Roman" w:cs="Times New Roman"/>
          <w:sz w:val="20"/>
          <w:szCs w:val="20"/>
        </w:rPr>
      </w:pPr>
      <w:r w:rsidRPr="007964C4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053DA6DB" w14:textId="77777777" w:rsidR="004466E1" w:rsidRPr="007964C4" w:rsidRDefault="004466E1" w:rsidP="004466E1">
      <w:pPr>
        <w:spacing w:after="0" w:line="240" w:lineRule="auto"/>
        <w:ind w:firstLine="5528"/>
        <w:jc w:val="both"/>
        <w:rPr>
          <w:rFonts w:ascii="Times New Roman" w:hAnsi="Times New Roman" w:cs="Times New Roman"/>
          <w:sz w:val="20"/>
          <w:szCs w:val="20"/>
        </w:rPr>
      </w:pPr>
      <w:r w:rsidRPr="007964C4">
        <w:rPr>
          <w:rFonts w:ascii="Times New Roman" w:hAnsi="Times New Roman" w:cs="Times New Roman"/>
          <w:sz w:val="20"/>
          <w:szCs w:val="20"/>
        </w:rPr>
        <w:t>К Политике по управлению рисками</w:t>
      </w:r>
    </w:p>
    <w:p w14:paraId="2936D00A" w14:textId="77777777" w:rsidR="004466E1" w:rsidRPr="007964C4" w:rsidRDefault="004466E1" w:rsidP="004466E1">
      <w:pPr>
        <w:spacing w:after="0" w:line="240" w:lineRule="auto"/>
        <w:ind w:firstLine="5528"/>
        <w:rPr>
          <w:rFonts w:ascii="Times New Roman" w:hAnsi="Times New Roman" w:cs="Times New Roman"/>
          <w:sz w:val="20"/>
          <w:szCs w:val="20"/>
        </w:rPr>
      </w:pPr>
      <w:r w:rsidRPr="007964C4">
        <w:rPr>
          <w:rFonts w:ascii="Times New Roman" w:hAnsi="Times New Roman" w:cs="Times New Roman"/>
          <w:sz w:val="20"/>
          <w:szCs w:val="20"/>
        </w:rPr>
        <w:t>Группы «Полипласт»</w:t>
      </w:r>
    </w:p>
    <w:p w14:paraId="36D7D71E" w14:textId="77777777" w:rsidR="004466E1" w:rsidRDefault="004466E1" w:rsidP="00446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BF4C1" w14:textId="77777777" w:rsidR="001E6E9A" w:rsidRDefault="001E6E9A" w:rsidP="001E6E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95B45" w14:textId="77777777" w:rsidR="001E6E9A" w:rsidRPr="007964C4" w:rsidRDefault="001E6E9A" w:rsidP="001E6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4C4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227F20AA" w14:textId="77777777" w:rsidR="001E6E9A" w:rsidRDefault="001E6E9A" w:rsidP="001E6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4C4">
        <w:rPr>
          <w:rFonts w:ascii="Times New Roman" w:hAnsi="Times New Roman" w:cs="Times New Roman"/>
          <w:b/>
          <w:bCs/>
          <w:sz w:val="24"/>
          <w:szCs w:val="24"/>
        </w:rPr>
        <w:t>типового классификатора рисков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AB2ADA">
        <w:rPr>
          <w:rFonts w:ascii="Times New Roman" w:hAnsi="Times New Roman" w:cs="Times New Roman"/>
          <w:b/>
          <w:bCs/>
          <w:sz w:val="24"/>
          <w:szCs w:val="24"/>
        </w:rPr>
        <w:t>перечня владельцев рисков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14CEE3" w14:textId="77777777" w:rsidR="001E6E9A" w:rsidRPr="007964C4" w:rsidRDefault="001E6E9A" w:rsidP="001E6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4C4">
        <w:rPr>
          <w:rFonts w:ascii="Times New Roman" w:hAnsi="Times New Roman" w:cs="Times New Roman"/>
          <w:b/>
          <w:bCs/>
          <w:sz w:val="24"/>
          <w:szCs w:val="24"/>
        </w:rPr>
        <w:t>Группы «Полипласт»</w:t>
      </w:r>
    </w:p>
    <w:p w14:paraId="7351859F" w14:textId="77777777" w:rsidR="001E6E9A" w:rsidRDefault="001E6E9A" w:rsidP="001E6E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 xml:space="preserve">Данный классификатор используются для целей выявления рисков </w:t>
      </w:r>
      <w:r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Pr="009231A5">
        <w:rPr>
          <w:rFonts w:ascii="Times New Roman" w:hAnsi="Times New Roman" w:cs="Times New Roman"/>
          <w:sz w:val="24"/>
          <w:szCs w:val="24"/>
        </w:rPr>
        <w:t>согласно разделу 6.1. Политики управления рисками. Классификатор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используется в качестве примера и включает типовые риски, которые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учитывать в процессе выявления рисков. Следует обратить внимание,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фактически выявленные риски могут существенно отличаться от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классификаторе. Классификатор рисков не является исчерпывающим и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служить заменой процессу идентификации рисков, описанному в разделе 6.1.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4876"/>
        <w:gridCol w:w="1569"/>
      </w:tblGrid>
      <w:tr w:rsidR="001E6E9A" w14:paraId="4358C1ED" w14:textId="77777777" w:rsidTr="001D2977">
        <w:tc>
          <w:tcPr>
            <w:tcW w:w="2900" w:type="dxa"/>
          </w:tcPr>
          <w:p w14:paraId="19801695" w14:textId="77777777" w:rsidR="001E6E9A" w:rsidRPr="00E956D6" w:rsidRDefault="001E6E9A" w:rsidP="001D29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риска</w:t>
            </w:r>
          </w:p>
        </w:tc>
        <w:tc>
          <w:tcPr>
            <w:tcW w:w="4876" w:type="dxa"/>
          </w:tcPr>
          <w:p w14:paraId="61EF193C" w14:textId="77777777" w:rsidR="001E6E9A" w:rsidRPr="00401C56" w:rsidRDefault="001E6E9A" w:rsidP="001D29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1569" w:type="dxa"/>
          </w:tcPr>
          <w:p w14:paraId="2CA7FB19" w14:textId="77777777" w:rsidR="001E6E9A" w:rsidRPr="00401C56" w:rsidRDefault="001E6E9A" w:rsidP="001D29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Владелец</w:t>
            </w:r>
          </w:p>
        </w:tc>
      </w:tr>
      <w:tr w:rsidR="001E6E9A" w14:paraId="557C2CD9" w14:textId="77777777" w:rsidTr="001D2977">
        <w:tc>
          <w:tcPr>
            <w:tcW w:w="2900" w:type="dxa"/>
            <w:vMerge w:val="restart"/>
          </w:tcPr>
          <w:p w14:paraId="3F1484C1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Управленческая команда</w:t>
            </w:r>
          </w:p>
        </w:tc>
        <w:tc>
          <w:tcPr>
            <w:tcW w:w="4876" w:type="dxa"/>
          </w:tcPr>
          <w:p w14:paraId="1135A9E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Отсутствие компетенций, необходимых для развития компании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1569" w:type="dxa"/>
            <w:vMerge w:val="restart"/>
          </w:tcPr>
          <w:p w14:paraId="52C472FD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УК, предприятия группы</w:t>
            </w:r>
          </w:p>
        </w:tc>
      </w:tr>
      <w:tr w:rsidR="001E6E9A" w14:paraId="2993D006" w14:textId="77777777" w:rsidTr="001D2977">
        <w:tc>
          <w:tcPr>
            <w:tcW w:w="2900" w:type="dxa"/>
            <w:vMerge/>
          </w:tcPr>
          <w:p w14:paraId="17D171FA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90E41EF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Зависимость от ключевых сотрудников, уход ключевых сотрудников</w:t>
            </w:r>
          </w:p>
        </w:tc>
        <w:tc>
          <w:tcPr>
            <w:tcW w:w="1569" w:type="dxa"/>
            <w:vMerge/>
          </w:tcPr>
          <w:p w14:paraId="13045DE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7B22C499" w14:textId="77777777" w:rsidTr="001D2977">
        <w:tc>
          <w:tcPr>
            <w:tcW w:w="2900" w:type="dxa"/>
            <w:vMerge/>
          </w:tcPr>
          <w:p w14:paraId="26A02CE1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69E67E24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Мошенничество, неэффективное расходование средств</w:t>
            </w:r>
          </w:p>
        </w:tc>
        <w:tc>
          <w:tcPr>
            <w:tcW w:w="1569" w:type="dxa"/>
            <w:vMerge/>
          </w:tcPr>
          <w:p w14:paraId="4A821314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26202F89" w14:textId="77777777" w:rsidTr="001D2977">
        <w:tc>
          <w:tcPr>
            <w:tcW w:w="2900" w:type="dxa"/>
            <w:vMerge/>
          </w:tcPr>
          <w:p w14:paraId="7FDD15B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F9722A9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Отсутствие налаженной системы внутреннего контроля</w:t>
            </w:r>
          </w:p>
        </w:tc>
        <w:tc>
          <w:tcPr>
            <w:tcW w:w="1569" w:type="dxa"/>
            <w:vMerge/>
          </w:tcPr>
          <w:p w14:paraId="4419A01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33B4FC7E" w14:textId="77777777" w:rsidTr="001D2977">
        <w:tc>
          <w:tcPr>
            <w:tcW w:w="2900" w:type="dxa"/>
            <w:vMerge w:val="restart"/>
          </w:tcPr>
          <w:p w14:paraId="3BCC5AAF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Отраслевые, страновые и </w:t>
            </w:r>
            <w:r w:rsidRPr="007F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чные риски; с</w:t>
            </w:r>
            <w:r w:rsidRPr="007F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прос, и конкуренты</w:t>
            </w:r>
          </w:p>
        </w:tc>
        <w:tc>
          <w:tcPr>
            <w:tcW w:w="4876" w:type="dxa"/>
          </w:tcPr>
          <w:p w14:paraId="29BFC31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Необъективна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я оценка потенциальных рынков сбыта</w:t>
            </w:r>
          </w:p>
        </w:tc>
        <w:tc>
          <w:tcPr>
            <w:tcW w:w="1569" w:type="dxa"/>
            <w:vMerge w:val="restart"/>
          </w:tcPr>
          <w:p w14:paraId="3CAC2930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группы</w:t>
            </w:r>
          </w:p>
        </w:tc>
      </w:tr>
      <w:tr w:rsidR="001E6E9A" w14:paraId="30822ACF" w14:textId="77777777" w:rsidTr="001D2977">
        <w:tc>
          <w:tcPr>
            <w:tcW w:w="2900" w:type="dxa"/>
            <w:vMerge/>
          </w:tcPr>
          <w:p w14:paraId="41473063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63180BC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Низкий или неподтвержденный спрос на продукцию</w:t>
            </w:r>
          </w:p>
        </w:tc>
        <w:tc>
          <w:tcPr>
            <w:tcW w:w="1569" w:type="dxa"/>
            <w:vMerge/>
          </w:tcPr>
          <w:p w14:paraId="2C89760A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42671A20" w14:textId="77777777" w:rsidTr="001D2977">
        <w:tc>
          <w:tcPr>
            <w:tcW w:w="2900" w:type="dxa"/>
            <w:vMerge/>
          </w:tcPr>
          <w:p w14:paraId="0CB1247D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02D1885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Высокая конкуренция со стороны российских, западных или азиатских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производителей</w:t>
            </w:r>
          </w:p>
        </w:tc>
        <w:tc>
          <w:tcPr>
            <w:tcW w:w="1569" w:type="dxa"/>
            <w:vMerge/>
          </w:tcPr>
          <w:p w14:paraId="3B68E6B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1DFF39F1" w14:textId="77777777" w:rsidTr="001D2977">
        <w:tc>
          <w:tcPr>
            <w:tcW w:w="2900" w:type="dxa"/>
            <w:vMerge/>
          </w:tcPr>
          <w:p w14:paraId="086217D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639614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Низкий спрос на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1569" w:type="dxa"/>
            <w:vMerge/>
          </w:tcPr>
          <w:p w14:paraId="5254E5C3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110833C9" w14:textId="77777777" w:rsidTr="001D2977">
        <w:tc>
          <w:tcPr>
            <w:tcW w:w="2900" w:type="dxa"/>
            <w:vMerge/>
          </w:tcPr>
          <w:p w14:paraId="635E8CB1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D4860B5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ависимость от крупных клиентов </w:t>
            </w:r>
          </w:p>
        </w:tc>
        <w:tc>
          <w:tcPr>
            <w:tcW w:w="1569" w:type="dxa"/>
            <w:vMerge/>
          </w:tcPr>
          <w:p w14:paraId="1CB2C3A4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67008A23" w14:textId="77777777" w:rsidTr="001D2977">
        <w:tc>
          <w:tcPr>
            <w:tcW w:w="2900" w:type="dxa"/>
            <w:vMerge/>
          </w:tcPr>
          <w:p w14:paraId="02B76B4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19A702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Санкции и б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арьеры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на 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 рынк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9" w:type="dxa"/>
            <w:vMerge/>
          </w:tcPr>
          <w:p w14:paraId="2CCD9CAE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2E7E12E2" w14:textId="77777777" w:rsidTr="001D2977">
        <w:tc>
          <w:tcPr>
            <w:tcW w:w="2900" w:type="dxa"/>
            <w:vMerge/>
          </w:tcPr>
          <w:p w14:paraId="1AC0532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F4200D6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Стагнация в отраслях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налаженных каналов продаж</w:t>
            </w:r>
          </w:p>
        </w:tc>
        <w:tc>
          <w:tcPr>
            <w:tcW w:w="1569" w:type="dxa"/>
            <w:vMerge/>
          </w:tcPr>
          <w:p w14:paraId="0227088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4D4D5844" w14:textId="77777777" w:rsidTr="001D2977">
        <w:tc>
          <w:tcPr>
            <w:tcW w:w="2900" w:type="dxa"/>
            <w:vMerge w:val="restart"/>
          </w:tcPr>
          <w:p w14:paraId="35A72FA9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Технологические риски</w:t>
            </w:r>
          </w:p>
        </w:tc>
        <w:tc>
          <w:tcPr>
            <w:tcW w:w="4876" w:type="dxa"/>
          </w:tcPr>
          <w:p w14:paraId="69DC42C7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Технология в ранних стадиях тестирования, окончательные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характеристики не полностью понятны</w:t>
            </w:r>
          </w:p>
        </w:tc>
        <w:tc>
          <w:tcPr>
            <w:tcW w:w="1569" w:type="dxa"/>
            <w:vMerge w:val="restart"/>
          </w:tcPr>
          <w:p w14:paraId="41FACB1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группы</w:t>
            </w:r>
          </w:p>
        </w:tc>
      </w:tr>
      <w:tr w:rsidR="001E6E9A" w14:paraId="7E73935A" w14:textId="77777777" w:rsidTr="001D2977">
        <w:tc>
          <w:tcPr>
            <w:tcW w:w="2900" w:type="dxa"/>
            <w:vMerge/>
          </w:tcPr>
          <w:p w14:paraId="2B4003AB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1D97E3A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технологии для потребителя </w:t>
            </w:r>
          </w:p>
        </w:tc>
        <w:tc>
          <w:tcPr>
            <w:tcW w:w="1569" w:type="dxa"/>
            <w:vMerge/>
          </w:tcPr>
          <w:p w14:paraId="1FCC5F5F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71F13D6F" w14:textId="77777777" w:rsidTr="001D2977">
        <w:tc>
          <w:tcPr>
            <w:tcW w:w="2900" w:type="dxa"/>
            <w:vMerge/>
          </w:tcPr>
          <w:p w14:paraId="32E8EDB7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2CF44F70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или надежность новой технологии по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 технологиями конкурентов, в том числе потенциал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технологии / производителя</w:t>
            </w:r>
          </w:p>
        </w:tc>
        <w:tc>
          <w:tcPr>
            <w:tcW w:w="1569" w:type="dxa"/>
            <w:vMerge/>
          </w:tcPr>
          <w:p w14:paraId="339839E1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0D8DD6A9" w14:textId="77777777" w:rsidTr="001D2977">
        <w:tc>
          <w:tcPr>
            <w:tcW w:w="2900" w:type="dxa"/>
            <w:vMerge/>
          </w:tcPr>
          <w:p w14:paraId="4ECEBD37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6C3DC46A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необходимой инфраструктуры для реализации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(оборудование, здания, квалифицированная рабочая сила)</w:t>
            </w:r>
          </w:p>
        </w:tc>
        <w:tc>
          <w:tcPr>
            <w:tcW w:w="1569" w:type="dxa"/>
            <w:vMerge/>
          </w:tcPr>
          <w:p w14:paraId="18A503C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10C532E9" w14:textId="77777777" w:rsidTr="001D2977">
        <w:tc>
          <w:tcPr>
            <w:tcW w:w="2900" w:type="dxa"/>
            <w:vMerge/>
          </w:tcPr>
          <w:p w14:paraId="1570D92E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25486DA3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Потеря ценности технологии при переходе от опытного образца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промышленному производству</w:t>
            </w:r>
          </w:p>
        </w:tc>
        <w:tc>
          <w:tcPr>
            <w:tcW w:w="1569" w:type="dxa"/>
            <w:vMerge/>
          </w:tcPr>
          <w:p w14:paraId="66A2DB55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050C12BC" w14:textId="77777777" w:rsidTr="001D2977">
        <w:tc>
          <w:tcPr>
            <w:tcW w:w="2900" w:type="dxa"/>
            <w:vMerge/>
          </w:tcPr>
          <w:p w14:paraId="783EBEC0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1A28CF1A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Риски, связанные со строительством и поставкой / эксплуатацией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569" w:type="dxa"/>
            <w:vMerge/>
          </w:tcPr>
          <w:p w14:paraId="2A9DDBF5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3F16FC78" w14:textId="77777777" w:rsidTr="001D2977">
        <w:tc>
          <w:tcPr>
            <w:tcW w:w="2900" w:type="dxa"/>
            <w:vMerge/>
          </w:tcPr>
          <w:p w14:paraId="3B3769C6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7E1A29A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Низкое качество проектирования</w:t>
            </w:r>
          </w:p>
        </w:tc>
        <w:tc>
          <w:tcPr>
            <w:tcW w:w="1569" w:type="dxa"/>
            <w:vMerge/>
          </w:tcPr>
          <w:p w14:paraId="0627C757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6825B463" w14:textId="77777777" w:rsidTr="001D2977">
        <w:tc>
          <w:tcPr>
            <w:tcW w:w="2900" w:type="dxa"/>
            <w:vMerge/>
          </w:tcPr>
          <w:p w14:paraId="6FE0535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0BEA4950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Срыв сроков согласования проектной документации или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разрешений</w:t>
            </w:r>
          </w:p>
        </w:tc>
        <w:tc>
          <w:tcPr>
            <w:tcW w:w="1569" w:type="dxa"/>
            <w:vMerge/>
          </w:tcPr>
          <w:p w14:paraId="360B3CBB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3532F4DB" w14:textId="77777777" w:rsidTr="001D2977">
        <w:tc>
          <w:tcPr>
            <w:tcW w:w="2900" w:type="dxa"/>
            <w:vMerge/>
          </w:tcPr>
          <w:p w14:paraId="09862DB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7B952AC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Внесение существенных изменений в проектную документацию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согласования с инвесторами</w:t>
            </w:r>
          </w:p>
        </w:tc>
        <w:tc>
          <w:tcPr>
            <w:tcW w:w="1569" w:type="dxa"/>
            <w:vMerge/>
          </w:tcPr>
          <w:p w14:paraId="24964DCA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60DFCDF0" w14:textId="77777777" w:rsidTr="001D2977">
        <w:tc>
          <w:tcPr>
            <w:tcW w:w="2900" w:type="dxa"/>
            <w:vMerge/>
          </w:tcPr>
          <w:p w14:paraId="7EE8516B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1886A3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Выбор недобросовестного ген. подрядчика и/или субподрядчиков</w:t>
            </w:r>
          </w:p>
        </w:tc>
        <w:tc>
          <w:tcPr>
            <w:tcW w:w="1569" w:type="dxa"/>
            <w:vMerge/>
          </w:tcPr>
          <w:p w14:paraId="59605D15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2F8CAAAE" w14:textId="77777777" w:rsidTr="001D2977">
        <w:tc>
          <w:tcPr>
            <w:tcW w:w="2900" w:type="dxa"/>
            <w:vMerge/>
          </w:tcPr>
          <w:p w14:paraId="04EC4BD4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7825BD1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Техногенные катастрофы.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Нарушения техники безопасности и охраны труда</w:t>
            </w:r>
          </w:p>
        </w:tc>
        <w:tc>
          <w:tcPr>
            <w:tcW w:w="1569" w:type="dxa"/>
            <w:vMerge/>
          </w:tcPr>
          <w:p w14:paraId="5AD4C4BF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5EC37681" w14:textId="77777777" w:rsidTr="001D2977">
        <w:tc>
          <w:tcPr>
            <w:tcW w:w="2900" w:type="dxa"/>
            <w:vMerge/>
          </w:tcPr>
          <w:p w14:paraId="427CA024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42185121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Превышение бюджета и сроков строительства</w:t>
            </w:r>
          </w:p>
        </w:tc>
        <w:tc>
          <w:tcPr>
            <w:tcW w:w="1569" w:type="dxa"/>
            <w:vMerge/>
          </w:tcPr>
          <w:p w14:paraId="39ED46D7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0A8020EE" w14:textId="77777777" w:rsidTr="001D2977">
        <w:tc>
          <w:tcPr>
            <w:tcW w:w="2900" w:type="dxa"/>
            <w:vMerge/>
          </w:tcPr>
          <w:p w14:paraId="0BA608E2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7BAF8DA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Существенные задержки оборудования на таможне</w:t>
            </w:r>
          </w:p>
        </w:tc>
        <w:tc>
          <w:tcPr>
            <w:tcW w:w="1569" w:type="dxa"/>
            <w:vMerge/>
          </w:tcPr>
          <w:p w14:paraId="18DA51C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539FDFB3" w14:textId="77777777" w:rsidTr="001D2977">
        <w:tc>
          <w:tcPr>
            <w:tcW w:w="2900" w:type="dxa"/>
            <w:vMerge/>
          </w:tcPr>
          <w:p w14:paraId="707BF192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DEF673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Сложности с доставкой оборудования (после прохождения таможни)</w:t>
            </w:r>
          </w:p>
        </w:tc>
        <w:tc>
          <w:tcPr>
            <w:tcW w:w="1569" w:type="dxa"/>
            <w:vMerge/>
          </w:tcPr>
          <w:p w14:paraId="4456DE6D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26C4E0C4" w14:textId="77777777" w:rsidTr="001D2977">
        <w:trPr>
          <w:trHeight w:val="562"/>
        </w:trPr>
        <w:tc>
          <w:tcPr>
            <w:tcW w:w="2900" w:type="dxa"/>
            <w:vMerge/>
            <w:tcBorders>
              <w:bottom w:val="single" w:sz="4" w:space="0" w:color="auto"/>
            </w:tcBorders>
          </w:tcPr>
          <w:p w14:paraId="3755C9A4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71257CD4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Проблемы с установкой и запуском оборудования</w:t>
            </w: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14:paraId="4632D291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12BABC67" w14:textId="77777777" w:rsidTr="001D2977">
        <w:tc>
          <w:tcPr>
            <w:tcW w:w="2900" w:type="dxa"/>
            <w:vMerge w:val="restart"/>
          </w:tcPr>
          <w:p w14:paraId="69EF7BBE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 риски</w:t>
            </w:r>
          </w:p>
        </w:tc>
        <w:tc>
          <w:tcPr>
            <w:tcW w:w="4876" w:type="dxa"/>
          </w:tcPr>
          <w:p w14:paraId="236B1F3D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Невозможность привлечения требуемого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69" w:type="dxa"/>
            <w:vMerge w:val="restart"/>
          </w:tcPr>
          <w:p w14:paraId="5F9A1A4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35EE5189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группы</w:t>
            </w:r>
          </w:p>
        </w:tc>
      </w:tr>
      <w:tr w:rsidR="001E6E9A" w14:paraId="0ACB5178" w14:textId="77777777" w:rsidTr="001D2977">
        <w:tc>
          <w:tcPr>
            <w:tcW w:w="2900" w:type="dxa"/>
            <w:vMerge/>
          </w:tcPr>
          <w:p w14:paraId="20DA87C6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7A976DE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Разрывы в ликвидности, риск финансовой нестабильности</w:t>
            </w:r>
          </w:p>
        </w:tc>
        <w:tc>
          <w:tcPr>
            <w:tcW w:w="1569" w:type="dxa"/>
            <w:vMerge/>
          </w:tcPr>
          <w:p w14:paraId="1E610361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72890B07" w14:textId="77777777" w:rsidTr="001D2977">
        <w:tc>
          <w:tcPr>
            <w:tcW w:w="2900" w:type="dxa"/>
            <w:vMerge/>
          </w:tcPr>
          <w:p w14:paraId="35012908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088FF9D7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Валютные риски, связанные с активами или обязательствами в валюте</w:t>
            </w:r>
          </w:p>
        </w:tc>
        <w:tc>
          <w:tcPr>
            <w:tcW w:w="1569" w:type="dxa"/>
            <w:vMerge/>
          </w:tcPr>
          <w:p w14:paraId="1670701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2F48E495" w14:textId="77777777" w:rsidTr="001D2977">
        <w:tc>
          <w:tcPr>
            <w:tcW w:w="2900" w:type="dxa"/>
            <w:vMerge/>
          </w:tcPr>
          <w:p w14:paraId="0E79023C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357607B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Высокая доля кредитных средств (высокий леверидж)</w:t>
            </w:r>
          </w:p>
        </w:tc>
        <w:tc>
          <w:tcPr>
            <w:tcW w:w="1569" w:type="dxa"/>
            <w:vMerge/>
          </w:tcPr>
          <w:p w14:paraId="5A1D40B9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1E374BD8" w14:textId="77777777" w:rsidTr="001D2977">
        <w:tc>
          <w:tcPr>
            <w:tcW w:w="2900" w:type="dxa"/>
            <w:vMerge/>
          </w:tcPr>
          <w:p w14:paraId="1A75E6C6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822E7B6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Удорожание обслуживания существующих кредитов из-за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процентной ставки</w:t>
            </w:r>
          </w:p>
        </w:tc>
        <w:tc>
          <w:tcPr>
            <w:tcW w:w="1569" w:type="dxa"/>
            <w:vMerge/>
          </w:tcPr>
          <w:p w14:paraId="2E200A49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34FFABAA" w14:textId="77777777" w:rsidTr="001D2977">
        <w:tc>
          <w:tcPr>
            <w:tcW w:w="2900" w:type="dxa"/>
            <w:vMerge/>
          </w:tcPr>
          <w:p w14:paraId="4A654F39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2B9D0890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Высокая зависимость от колебания закупочных цен / цен на сырье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(ценовые риски)</w:t>
            </w:r>
          </w:p>
        </w:tc>
        <w:tc>
          <w:tcPr>
            <w:tcW w:w="1569" w:type="dxa"/>
            <w:vMerge/>
          </w:tcPr>
          <w:p w14:paraId="425E4166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34D1F607" w14:textId="77777777" w:rsidTr="001D2977">
        <w:tc>
          <w:tcPr>
            <w:tcW w:w="2900" w:type="dxa"/>
            <w:vMerge/>
          </w:tcPr>
          <w:p w14:paraId="4F6968C8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19E59A33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Налоговые риски</w:t>
            </w:r>
          </w:p>
        </w:tc>
        <w:tc>
          <w:tcPr>
            <w:tcW w:w="1569" w:type="dxa"/>
            <w:vMerge/>
          </w:tcPr>
          <w:p w14:paraId="18594C54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4C712DE7" w14:textId="77777777" w:rsidTr="001D2977">
        <w:tc>
          <w:tcPr>
            <w:tcW w:w="2900" w:type="dxa"/>
            <w:vMerge w:val="restart"/>
          </w:tcPr>
          <w:p w14:paraId="75D83744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Юридические риски / законодательство</w:t>
            </w:r>
          </w:p>
        </w:tc>
        <w:tc>
          <w:tcPr>
            <w:tcW w:w="4876" w:type="dxa"/>
          </w:tcPr>
          <w:p w14:paraId="02CD2BE9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нарушение сроков действия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сертификатов, лицензий или разрешений</w:t>
            </w:r>
          </w:p>
        </w:tc>
        <w:tc>
          <w:tcPr>
            <w:tcW w:w="1569" w:type="dxa"/>
            <w:vMerge w:val="restart"/>
          </w:tcPr>
          <w:p w14:paraId="141A350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группы</w:t>
            </w:r>
          </w:p>
        </w:tc>
      </w:tr>
      <w:tr w:rsidR="001E6E9A" w14:paraId="11FB4310" w14:textId="77777777" w:rsidTr="001D2977">
        <w:tc>
          <w:tcPr>
            <w:tcW w:w="2900" w:type="dxa"/>
            <w:vMerge/>
          </w:tcPr>
          <w:p w14:paraId="2CFAD807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2E3E479B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Существующее законодательство несет в себе ограничения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компании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требует изменения</w:t>
            </w:r>
          </w:p>
        </w:tc>
        <w:tc>
          <w:tcPr>
            <w:tcW w:w="1569" w:type="dxa"/>
            <w:vMerge/>
          </w:tcPr>
          <w:p w14:paraId="264DCE97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54E290BB" w14:textId="77777777" w:rsidTr="001D2977">
        <w:tc>
          <w:tcPr>
            <w:tcW w:w="2900" w:type="dxa"/>
            <w:vMerge/>
          </w:tcPr>
          <w:p w14:paraId="6F4865DF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47790A8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нарушения с </w:t>
            </w:r>
            <w:proofErr w:type="spellStart"/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неистекшим</w:t>
            </w:r>
            <w:proofErr w:type="spellEnd"/>
            <w:r w:rsidRPr="009231A5">
              <w:rPr>
                <w:rFonts w:ascii="Times New Roman" w:hAnsi="Times New Roman" w:cs="Times New Roman"/>
                <w:sz w:val="24"/>
                <w:szCs w:val="24"/>
              </w:rPr>
              <w:t xml:space="preserve"> сроком исковой давности</w:t>
            </w:r>
          </w:p>
        </w:tc>
        <w:tc>
          <w:tcPr>
            <w:tcW w:w="1569" w:type="dxa"/>
            <w:vMerge/>
          </w:tcPr>
          <w:p w14:paraId="0995DA40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5B6B9812" w14:textId="77777777" w:rsidTr="001D2977">
        <w:tc>
          <w:tcPr>
            <w:tcW w:w="2900" w:type="dxa"/>
            <w:vMerge/>
          </w:tcPr>
          <w:p w14:paraId="12D73AB7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65F43DB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Возможный конфликт интересов</w:t>
            </w:r>
          </w:p>
        </w:tc>
        <w:tc>
          <w:tcPr>
            <w:tcW w:w="1569" w:type="dxa"/>
            <w:vMerge/>
          </w:tcPr>
          <w:p w14:paraId="65F0A15F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3545D16C" w14:textId="77777777" w:rsidTr="001D2977">
        <w:trPr>
          <w:trHeight w:val="1114"/>
        </w:trPr>
        <w:tc>
          <w:tcPr>
            <w:tcW w:w="2900" w:type="dxa"/>
            <w:vMerge/>
          </w:tcPr>
          <w:p w14:paraId="49B5CD38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5E8EBFA6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Судебные иски или разбирательства в отношении ключевых активов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69" w:type="dxa"/>
            <w:vMerge/>
          </w:tcPr>
          <w:p w14:paraId="255B292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502CED4A" w14:textId="77777777" w:rsidTr="001D2977">
        <w:tc>
          <w:tcPr>
            <w:tcW w:w="2900" w:type="dxa"/>
            <w:vMerge w:val="restart"/>
          </w:tcPr>
          <w:p w14:paraId="527FEE6E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Поставщики / партнеры / соинвесторы</w:t>
            </w:r>
          </w:p>
        </w:tc>
        <w:tc>
          <w:tcPr>
            <w:tcW w:w="4876" w:type="dxa"/>
          </w:tcPr>
          <w:p w14:paraId="10EAD5C5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Зависимость от ключевых поставщиков (отсутствие альтернатив)</w:t>
            </w:r>
          </w:p>
        </w:tc>
        <w:tc>
          <w:tcPr>
            <w:tcW w:w="1569" w:type="dxa"/>
            <w:vMerge w:val="restart"/>
          </w:tcPr>
          <w:p w14:paraId="1C1797F2" w14:textId="77777777" w:rsidR="001E6E9A" w:rsidRDefault="001E6E9A" w:rsidP="001D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группы</w:t>
            </w:r>
          </w:p>
        </w:tc>
      </w:tr>
      <w:tr w:rsidR="001E6E9A" w14:paraId="47A053E2" w14:textId="77777777" w:rsidTr="001D2977">
        <w:tc>
          <w:tcPr>
            <w:tcW w:w="2900" w:type="dxa"/>
            <w:vMerge/>
          </w:tcPr>
          <w:p w14:paraId="66980992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71B41023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Отсутствие налаженных каналов поставки сырья или составляющих</w:t>
            </w:r>
          </w:p>
        </w:tc>
        <w:tc>
          <w:tcPr>
            <w:tcW w:w="1569" w:type="dxa"/>
            <w:vMerge/>
          </w:tcPr>
          <w:p w14:paraId="23DBF059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1D6D6E0D" w14:textId="77777777" w:rsidTr="001D2977">
        <w:tc>
          <w:tcPr>
            <w:tcW w:w="2900" w:type="dxa"/>
            <w:vMerge/>
          </w:tcPr>
          <w:p w14:paraId="6CBEDEDD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7178B559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Низкое качество поставляемых услуг или материалов</w:t>
            </w:r>
          </w:p>
        </w:tc>
        <w:tc>
          <w:tcPr>
            <w:tcW w:w="1569" w:type="dxa"/>
            <w:vMerge/>
          </w:tcPr>
          <w:p w14:paraId="3ED21B48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41DC4387" w14:textId="77777777" w:rsidTr="001D2977">
        <w:tc>
          <w:tcPr>
            <w:tcW w:w="2900" w:type="dxa"/>
            <w:vMerge/>
          </w:tcPr>
          <w:p w14:paraId="0A23BAD9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17C3CD4F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Финансовая нестабильность ключевых контрагентов</w:t>
            </w:r>
          </w:p>
        </w:tc>
        <w:tc>
          <w:tcPr>
            <w:tcW w:w="1569" w:type="dxa"/>
            <w:vMerge/>
          </w:tcPr>
          <w:p w14:paraId="4DA80533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5C9B0023" w14:textId="77777777" w:rsidTr="001D2977">
        <w:tc>
          <w:tcPr>
            <w:tcW w:w="2900" w:type="dxa"/>
            <w:vMerge/>
          </w:tcPr>
          <w:p w14:paraId="3A176F41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013E8F4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A5">
              <w:rPr>
                <w:rFonts w:ascii="Times New Roman" w:hAnsi="Times New Roman" w:cs="Times New Roman"/>
                <w:sz w:val="24"/>
                <w:szCs w:val="24"/>
              </w:rPr>
              <w:t>Нарушение своих обязательств стратегическими партнерами</w:t>
            </w:r>
          </w:p>
        </w:tc>
        <w:tc>
          <w:tcPr>
            <w:tcW w:w="1569" w:type="dxa"/>
            <w:vMerge/>
          </w:tcPr>
          <w:p w14:paraId="06DCB867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61B2B275" w14:textId="77777777" w:rsidTr="001D2977">
        <w:tc>
          <w:tcPr>
            <w:tcW w:w="2900" w:type="dxa"/>
            <w:vMerge w:val="restart"/>
          </w:tcPr>
          <w:p w14:paraId="41612BD0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Репутационн</w:t>
            </w:r>
            <w:r w:rsidRPr="007F1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риски</w:t>
            </w:r>
          </w:p>
        </w:tc>
        <w:tc>
          <w:tcPr>
            <w:tcW w:w="4876" w:type="dxa"/>
          </w:tcPr>
          <w:p w14:paraId="47DA9005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продукции, поставки бракованной партии</w:t>
            </w:r>
          </w:p>
        </w:tc>
        <w:tc>
          <w:tcPr>
            <w:tcW w:w="1569" w:type="dxa"/>
            <w:vMerge w:val="restart"/>
          </w:tcPr>
          <w:p w14:paraId="26D3F845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2CE82A7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группы</w:t>
            </w:r>
          </w:p>
        </w:tc>
      </w:tr>
      <w:tr w:rsidR="001E6E9A" w14:paraId="2973B7D9" w14:textId="77777777" w:rsidTr="001D2977">
        <w:tc>
          <w:tcPr>
            <w:tcW w:w="2900" w:type="dxa"/>
            <w:vMerge/>
          </w:tcPr>
          <w:p w14:paraId="1F75236C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6BDCB5CE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Срыв сроков исполнения обязательств</w:t>
            </w:r>
          </w:p>
        </w:tc>
        <w:tc>
          <w:tcPr>
            <w:tcW w:w="1569" w:type="dxa"/>
            <w:vMerge/>
          </w:tcPr>
          <w:p w14:paraId="0D379C4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26D63C50" w14:textId="77777777" w:rsidTr="001D2977">
        <w:tc>
          <w:tcPr>
            <w:tcW w:w="2900" w:type="dxa"/>
            <w:vMerge/>
          </w:tcPr>
          <w:p w14:paraId="5760C810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6E7EB8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Мошенничество, или личные интересы сотрудников компании </w:t>
            </w:r>
          </w:p>
        </w:tc>
        <w:tc>
          <w:tcPr>
            <w:tcW w:w="1569" w:type="dxa"/>
            <w:vMerge/>
          </w:tcPr>
          <w:p w14:paraId="7A443C9D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65F6AFC9" w14:textId="77777777" w:rsidTr="001D2977">
        <w:tc>
          <w:tcPr>
            <w:tcW w:w="2900" w:type="dxa"/>
            <w:vMerge/>
          </w:tcPr>
          <w:p w14:paraId="03D4847C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0AEB3E1A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обязательств перед кредиторами</w:t>
            </w:r>
          </w:p>
        </w:tc>
        <w:tc>
          <w:tcPr>
            <w:tcW w:w="1569" w:type="dxa"/>
            <w:vMerge/>
          </w:tcPr>
          <w:p w14:paraId="7DBA0FA2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36E334FB" w14:textId="77777777" w:rsidTr="001D2977">
        <w:tc>
          <w:tcPr>
            <w:tcW w:w="2900" w:type="dxa"/>
            <w:vMerge/>
          </w:tcPr>
          <w:p w14:paraId="43C2AEA0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1EB20C97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и уголовные преследования в  отношении бенефициаров, ключевых менеджеров Компании.</w:t>
            </w:r>
          </w:p>
        </w:tc>
        <w:tc>
          <w:tcPr>
            <w:tcW w:w="1569" w:type="dxa"/>
            <w:vMerge/>
          </w:tcPr>
          <w:p w14:paraId="2F99B5E1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2877F6C6" w14:textId="77777777" w:rsidTr="001D2977">
        <w:trPr>
          <w:trHeight w:val="319"/>
        </w:trPr>
        <w:tc>
          <w:tcPr>
            <w:tcW w:w="2900" w:type="dxa"/>
            <w:vMerge/>
          </w:tcPr>
          <w:p w14:paraId="45745C85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1C0E4444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иски в отношении Компании</w:t>
            </w:r>
          </w:p>
        </w:tc>
        <w:tc>
          <w:tcPr>
            <w:tcW w:w="1569" w:type="dxa"/>
            <w:vMerge/>
          </w:tcPr>
          <w:p w14:paraId="6A5DB865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0F5D0728" w14:textId="77777777" w:rsidTr="001D2977">
        <w:tc>
          <w:tcPr>
            <w:tcW w:w="2900" w:type="dxa"/>
            <w:vMerge w:val="restart"/>
          </w:tcPr>
          <w:p w14:paraId="1D42DBFB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Стратегический риск</w:t>
            </w:r>
          </w:p>
        </w:tc>
        <w:tc>
          <w:tcPr>
            <w:tcW w:w="4876" w:type="dxa"/>
          </w:tcPr>
          <w:p w14:paraId="28FDDBB1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>озникновени</w:t>
            </w: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 xml:space="preserve"> убытков в результате ошибок (недостатков), допущенных при принятии решений, определяющих стратегию деятельности и развития</w:t>
            </w: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>омпаний</w:t>
            </w:r>
          </w:p>
        </w:tc>
        <w:tc>
          <w:tcPr>
            <w:tcW w:w="1569" w:type="dxa"/>
            <w:vMerge w:val="restart"/>
          </w:tcPr>
          <w:p w14:paraId="2DE1CEE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4ACC015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группы</w:t>
            </w:r>
          </w:p>
        </w:tc>
      </w:tr>
      <w:tr w:rsidR="001E6E9A" w14:paraId="6A0CC037" w14:textId="77777777" w:rsidTr="001D2977">
        <w:tc>
          <w:tcPr>
            <w:tcW w:w="2900" w:type="dxa"/>
            <w:vMerge/>
          </w:tcPr>
          <w:p w14:paraId="7EE8501C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3156466C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>еправильно</w:t>
            </w: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 xml:space="preserve"> или неполно обоснованно</w:t>
            </w: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</w:t>
            </w: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перспективных направлений деятельности</w:t>
            </w:r>
          </w:p>
        </w:tc>
        <w:tc>
          <w:tcPr>
            <w:tcW w:w="1569" w:type="dxa"/>
            <w:vMerge/>
          </w:tcPr>
          <w:p w14:paraId="55D867A3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E9A" w14:paraId="4DD44EDF" w14:textId="77777777" w:rsidTr="001D2977">
        <w:tc>
          <w:tcPr>
            <w:tcW w:w="2900" w:type="dxa"/>
            <w:vMerge/>
          </w:tcPr>
          <w:p w14:paraId="0636DC52" w14:textId="77777777" w:rsidR="001E6E9A" w:rsidRPr="009231A5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14:paraId="01AEDD35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>тсутстви</w:t>
            </w: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 xml:space="preserve"> или обеспечени</w:t>
            </w:r>
            <w:r w:rsidRPr="00AD5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0A8">
              <w:rPr>
                <w:rFonts w:ascii="Times New Roman" w:hAnsi="Times New Roman" w:cs="Times New Roman"/>
                <w:sz w:val="24"/>
                <w:szCs w:val="24"/>
              </w:rPr>
              <w:t xml:space="preserve"> в неполном объёме необходимых ресурсов и организационных мер, которые должны обеспечить достижение стратегических целей деятельности Группы</w:t>
            </w:r>
          </w:p>
        </w:tc>
        <w:tc>
          <w:tcPr>
            <w:tcW w:w="1569" w:type="dxa"/>
            <w:vMerge/>
          </w:tcPr>
          <w:p w14:paraId="2C68DC33" w14:textId="77777777" w:rsidR="001E6E9A" w:rsidRDefault="001E6E9A" w:rsidP="001D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E369A" w14:textId="77777777" w:rsidR="001E6E9A" w:rsidRDefault="001E6E9A" w:rsidP="001E6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9C6B" w14:textId="77777777" w:rsidR="001E6E9A" w:rsidRDefault="001E6E9A" w:rsidP="001E6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930F" w14:textId="77777777" w:rsidR="001E6E9A" w:rsidRDefault="001E6E9A" w:rsidP="001E6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F8664A" w14:textId="77777777" w:rsidR="001E6E9A" w:rsidRDefault="001E6E9A" w:rsidP="001E6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8F56F" w14:textId="77777777" w:rsidR="001E6E9A" w:rsidRDefault="001E6E9A" w:rsidP="001E6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C60EB" w14:textId="77777777" w:rsidR="001E6E9A" w:rsidRDefault="001E6E9A" w:rsidP="001E6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ED6B0" w14:textId="77777777" w:rsidR="001E6E9A" w:rsidRDefault="001E6E9A" w:rsidP="001E6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EE413" w14:textId="77777777" w:rsidR="001E6E9A" w:rsidRDefault="001E6E9A" w:rsidP="001E6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060FA" w14:textId="77777777" w:rsidR="001E6E9A" w:rsidRDefault="001E6E9A" w:rsidP="001E6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47711" w14:textId="77777777" w:rsidR="004466E1" w:rsidRDefault="004466E1" w:rsidP="004466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187A5A" w14:textId="77777777" w:rsidR="004466E1" w:rsidRDefault="004466E1" w:rsidP="004466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AAADB" w14:textId="77777777" w:rsidR="004466E1" w:rsidRDefault="004466E1" w:rsidP="004466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00146" w14:textId="77777777" w:rsidR="008F0397" w:rsidRDefault="008F0397" w:rsidP="008F0397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  <w:sectPr w:rsidR="008F039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BD89ED" w14:textId="3471C8C4" w:rsidR="00E24220" w:rsidRPr="007964C4" w:rsidRDefault="004B62AF" w:rsidP="00E2422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24220" w:rsidRPr="007964C4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E24220">
        <w:rPr>
          <w:rFonts w:ascii="Times New Roman" w:hAnsi="Times New Roman" w:cs="Times New Roman"/>
          <w:sz w:val="20"/>
          <w:szCs w:val="20"/>
        </w:rPr>
        <w:t>2</w:t>
      </w:r>
    </w:p>
    <w:p w14:paraId="5A612ACE" w14:textId="77777777" w:rsidR="00E24220" w:rsidRPr="007964C4" w:rsidRDefault="00E24220" w:rsidP="00E24220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0"/>
          <w:szCs w:val="20"/>
        </w:rPr>
      </w:pPr>
      <w:r w:rsidRPr="007964C4">
        <w:rPr>
          <w:rFonts w:ascii="Times New Roman" w:hAnsi="Times New Roman" w:cs="Times New Roman"/>
          <w:sz w:val="20"/>
          <w:szCs w:val="20"/>
        </w:rPr>
        <w:t>К Политике по управлению рисками</w:t>
      </w:r>
    </w:p>
    <w:p w14:paraId="5CB3F547" w14:textId="77777777" w:rsidR="00E24220" w:rsidRPr="007964C4" w:rsidRDefault="00E24220" w:rsidP="00E24220">
      <w:pPr>
        <w:spacing w:after="0" w:line="240" w:lineRule="auto"/>
        <w:ind w:firstLine="10773"/>
        <w:rPr>
          <w:rFonts w:ascii="Times New Roman" w:hAnsi="Times New Roman" w:cs="Times New Roman"/>
          <w:sz w:val="20"/>
          <w:szCs w:val="20"/>
        </w:rPr>
      </w:pPr>
      <w:r w:rsidRPr="007964C4">
        <w:rPr>
          <w:rFonts w:ascii="Times New Roman" w:hAnsi="Times New Roman" w:cs="Times New Roman"/>
          <w:sz w:val="20"/>
          <w:szCs w:val="20"/>
        </w:rPr>
        <w:t>Группы «Полипласт»</w:t>
      </w:r>
    </w:p>
    <w:p w14:paraId="26EE2579" w14:textId="5EA56712" w:rsidR="002A20A2" w:rsidRPr="00D711FF" w:rsidRDefault="002A20A2" w:rsidP="008F0397">
      <w:pPr>
        <w:spacing w:after="0"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</w:p>
    <w:p w14:paraId="3C80EAD4" w14:textId="77777777" w:rsidR="00E24220" w:rsidRDefault="00E24220" w:rsidP="002A2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B371" w14:textId="79AB524A" w:rsidR="002A20A2" w:rsidRPr="00D52FF6" w:rsidRDefault="002A20A2" w:rsidP="002A2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FF6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2F01B5AB" w14:textId="77777777" w:rsidR="002A20A2" w:rsidRPr="00D52FF6" w:rsidRDefault="002A20A2" w:rsidP="002A2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FF6">
        <w:rPr>
          <w:rFonts w:ascii="Times New Roman" w:hAnsi="Times New Roman" w:cs="Times New Roman"/>
          <w:b/>
          <w:bCs/>
          <w:sz w:val="24"/>
          <w:szCs w:val="24"/>
        </w:rPr>
        <w:t>реестра рисков Группы «Полипласт»</w:t>
      </w:r>
    </w:p>
    <w:p w14:paraId="6FA31CC3" w14:textId="77777777" w:rsidR="002A20A2" w:rsidRDefault="002A20A2" w:rsidP="002A20A2">
      <w:pPr>
        <w:rPr>
          <w:rFonts w:ascii="Times New Roman" w:hAnsi="Times New Roman" w:cs="Times New Roman"/>
          <w:sz w:val="24"/>
          <w:szCs w:val="24"/>
        </w:rPr>
      </w:pPr>
    </w:p>
    <w:p w14:paraId="5F935528" w14:textId="77777777" w:rsidR="002A20A2" w:rsidRPr="009231A5" w:rsidRDefault="002A20A2" w:rsidP="002A20A2">
      <w:pPr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Дата подготовки: ___________________________</w:t>
      </w:r>
    </w:p>
    <w:p w14:paraId="3236C429" w14:textId="77777777" w:rsidR="002A20A2" w:rsidRPr="009231A5" w:rsidRDefault="002A20A2" w:rsidP="002A20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752"/>
        <w:gridCol w:w="1605"/>
        <w:gridCol w:w="1147"/>
        <w:gridCol w:w="1239"/>
        <w:gridCol w:w="1729"/>
        <w:gridCol w:w="1024"/>
        <w:gridCol w:w="1674"/>
      </w:tblGrid>
      <w:tr w:rsidR="002A20A2" w:rsidRPr="003D58B1" w14:paraId="366D3108" w14:textId="77777777" w:rsidTr="000811F7">
        <w:trPr>
          <w:trHeight w:val="559"/>
        </w:trPr>
        <w:tc>
          <w:tcPr>
            <w:tcW w:w="1413" w:type="dxa"/>
          </w:tcPr>
          <w:p w14:paraId="7A10308F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14:paraId="5A23CBB8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2977" w:type="dxa"/>
          </w:tcPr>
          <w:p w14:paraId="2A4B2FBB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риска и</w:t>
            </w:r>
          </w:p>
          <w:p w14:paraId="2172E344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последствия</w:t>
            </w:r>
          </w:p>
        </w:tc>
        <w:tc>
          <w:tcPr>
            <w:tcW w:w="1752" w:type="dxa"/>
          </w:tcPr>
          <w:p w14:paraId="4F85625F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Возможный</w:t>
            </w:r>
          </w:p>
          <w:p w14:paraId="4B1BB8F8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ущерб</w:t>
            </w:r>
          </w:p>
          <w:p w14:paraId="0193CF80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8C06F7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</w:t>
            </w:r>
          </w:p>
          <w:p w14:paraId="7CF404AD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наступления</w:t>
            </w:r>
          </w:p>
          <w:p w14:paraId="3864491C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14:paraId="7A559AC0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14:paraId="411EA0F3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1239" w:type="dxa"/>
          </w:tcPr>
          <w:p w14:paraId="4F116504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Владелец</w:t>
            </w:r>
          </w:p>
          <w:p w14:paraId="695D2304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1729" w:type="dxa"/>
          </w:tcPr>
          <w:p w14:paraId="3515451E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24" w:type="dxa"/>
          </w:tcPr>
          <w:p w14:paraId="0C09629F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74" w:type="dxa"/>
          </w:tcPr>
          <w:p w14:paraId="5F19359E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  <w:p w14:paraId="652ACFA7" w14:textId="77777777" w:rsidR="002A20A2" w:rsidRPr="003D58B1" w:rsidRDefault="002A20A2" w:rsidP="00081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2A20A2" w14:paraId="111BAD94" w14:textId="77777777" w:rsidTr="000811F7">
        <w:tc>
          <w:tcPr>
            <w:tcW w:w="1413" w:type="dxa"/>
          </w:tcPr>
          <w:p w14:paraId="15FEC0F2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3CD0DD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D259D07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7060138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C69757F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4CD4CCC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30808C7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36456587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F54BE77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A2" w14:paraId="7E189BB8" w14:textId="77777777" w:rsidTr="000811F7">
        <w:tc>
          <w:tcPr>
            <w:tcW w:w="1413" w:type="dxa"/>
          </w:tcPr>
          <w:p w14:paraId="6DDED224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30A4F1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1D3480C1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23C1F5E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78C15EA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43197C4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97F7F1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A0FCC29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B184B96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A2" w14:paraId="7D3D03DA" w14:textId="77777777" w:rsidTr="000811F7">
        <w:tc>
          <w:tcPr>
            <w:tcW w:w="1413" w:type="dxa"/>
          </w:tcPr>
          <w:p w14:paraId="111AE712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F4F84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C3A5AB6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5B6D733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26AACA0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16D3B96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693AB93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1A2A2E8D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F488C58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A2" w14:paraId="74745AFF" w14:textId="77777777" w:rsidTr="000811F7">
        <w:tc>
          <w:tcPr>
            <w:tcW w:w="1413" w:type="dxa"/>
          </w:tcPr>
          <w:p w14:paraId="28C9B403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0BADA1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410F1D3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919FA8D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4ADD754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0C2A7EC5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54E0975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DCDA8B1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5CD6A50" w14:textId="77777777" w:rsidR="002A20A2" w:rsidRDefault="002A20A2" w:rsidP="0008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3E3F8" w14:textId="77777777" w:rsidR="002A20A2" w:rsidRPr="009231A5" w:rsidRDefault="002A20A2" w:rsidP="002A20A2">
      <w:pPr>
        <w:rPr>
          <w:rFonts w:ascii="Times New Roman" w:hAnsi="Times New Roman" w:cs="Times New Roman"/>
          <w:sz w:val="24"/>
          <w:szCs w:val="24"/>
        </w:rPr>
      </w:pPr>
    </w:p>
    <w:p w14:paraId="11DD7A56" w14:textId="77777777" w:rsidR="002A20A2" w:rsidRPr="009231A5" w:rsidRDefault="002A20A2" w:rsidP="002A2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A5">
        <w:rPr>
          <w:rFonts w:ascii="Times New Roman" w:hAnsi="Times New Roman" w:cs="Times New Roman"/>
          <w:sz w:val="24"/>
          <w:szCs w:val="24"/>
        </w:rPr>
        <w:t>Таблица, содержащая структурированную информацию о рисках: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рисков, описание рисков и возможных последствий от реализации рисков, 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A5">
        <w:rPr>
          <w:rFonts w:ascii="Times New Roman" w:hAnsi="Times New Roman" w:cs="Times New Roman"/>
          <w:sz w:val="24"/>
          <w:szCs w:val="24"/>
        </w:rPr>
        <w:t>рисков,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231A5">
        <w:rPr>
          <w:rFonts w:ascii="Times New Roman" w:hAnsi="Times New Roman" w:cs="Times New Roman"/>
          <w:sz w:val="24"/>
          <w:szCs w:val="24"/>
        </w:rPr>
        <w:t>ладельцев рисков, мероприятия по управлению рисками, сроки и статус их реализации</w:t>
      </w:r>
    </w:p>
    <w:p w14:paraId="28EDD821" w14:textId="77777777" w:rsidR="004466E1" w:rsidRDefault="004466E1" w:rsidP="004466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C9E4E" w14:textId="77777777" w:rsidR="004B62AF" w:rsidRDefault="004B62AF" w:rsidP="004466E1">
      <w:pPr>
        <w:jc w:val="both"/>
        <w:rPr>
          <w:rFonts w:ascii="Times New Roman" w:hAnsi="Times New Roman" w:cs="Times New Roman"/>
          <w:sz w:val="24"/>
          <w:szCs w:val="24"/>
        </w:rPr>
        <w:sectPr w:rsidR="004B62AF" w:rsidSect="004B62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DFA3A0F" w14:textId="62774B9D" w:rsidR="004466E1" w:rsidRDefault="004466E1" w:rsidP="004B62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6E1" w:rsidSect="004B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49F77" w14:textId="77777777" w:rsidR="008D5A34" w:rsidRDefault="008D5A34">
      <w:pPr>
        <w:spacing w:after="0" w:line="240" w:lineRule="auto"/>
      </w:pPr>
      <w:r>
        <w:separator/>
      </w:r>
    </w:p>
  </w:endnote>
  <w:endnote w:type="continuationSeparator" w:id="0">
    <w:p w14:paraId="594BA487" w14:textId="77777777" w:rsidR="008D5A34" w:rsidRDefault="008D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6852" w14:textId="77777777" w:rsidR="001D2977" w:rsidRDefault="008D5A34">
    <w:pPr>
      <w:pStyle w:val="a4"/>
      <w:spacing w:line="14" w:lineRule="auto"/>
      <w:ind w:left="0"/>
      <w:jc w:val="left"/>
      <w:rPr>
        <w:b w:val="0"/>
        <w:i w:val="0"/>
        <w:sz w:val="20"/>
      </w:rPr>
    </w:pPr>
    <w:r>
      <w:pict w14:anchorId="3193C9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pt;margin-top:780.2pt;width:15.3pt;height:13.05pt;z-index:-251658752;mso-position-horizontal-relative:page;mso-position-vertical-relative:page" filled="f" stroked="f">
          <v:textbox style="mso-next-textbox:#_x0000_s2049" inset="0,0,0,0">
            <w:txbxContent>
              <w:p w14:paraId="0D948D75" w14:textId="28CB4633" w:rsidR="001D2977" w:rsidRDefault="001D297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0782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73C0" w14:textId="77777777" w:rsidR="008D5A34" w:rsidRDefault="008D5A34">
      <w:pPr>
        <w:spacing w:after="0" w:line="240" w:lineRule="auto"/>
      </w:pPr>
      <w:r>
        <w:separator/>
      </w:r>
    </w:p>
  </w:footnote>
  <w:footnote w:type="continuationSeparator" w:id="0">
    <w:p w14:paraId="4AF48DFA" w14:textId="77777777" w:rsidR="008D5A34" w:rsidRDefault="008D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67E0"/>
    <w:multiLevelType w:val="multilevel"/>
    <w:tmpl w:val="20AA8C94"/>
    <w:lvl w:ilvl="0">
      <w:start w:val="2"/>
      <w:numFmt w:val="decimal"/>
      <w:lvlText w:val="%1"/>
      <w:lvlJc w:val="left"/>
      <w:pPr>
        <w:ind w:left="486" w:hanging="38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810" w:hanging="3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51" w:hanging="5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3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8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7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06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96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5" w:hanging="550"/>
      </w:pPr>
      <w:rPr>
        <w:rFonts w:hint="default"/>
        <w:lang w:val="ru-RU" w:eastAsia="ru-RU" w:bidi="ru-RU"/>
      </w:rPr>
    </w:lvl>
  </w:abstractNum>
  <w:abstractNum w:abstractNumId="1" w15:restartNumberingAfterBreak="0">
    <w:nsid w:val="36202ABC"/>
    <w:multiLevelType w:val="hybridMultilevel"/>
    <w:tmpl w:val="379474CA"/>
    <w:lvl w:ilvl="0" w:tplc="D4DC76A0"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 w:tplc="4D1A433A">
      <w:numFmt w:val="bullet"/>
      <w:lvlText w:val="•"/>
      <w:lvlJc w:val="left"/>
      <w:pPr>
        <w:ind w:left="1046" w:hanging="188"/>
      </w:pPr>
      <w:rPr>
        <w:rFonts w:hint="default"/>
        <w:lang w:val="ru-RU" w:eastAsia="ru-RU" w:bidi="ru-RU"/>
      </w:rPr>
    </w:lvl>
    <w:lvl w:ilvl="2" w:tplc="9E406D3A">
      <w:numFmt w:val="bullet"/>
      <w:lvlText w:val="•"/>
      <w:lvlJc w:val="left"/>
      <w:pPr>
        <w:ind w:left="1992" w:hanging="188"/>
      </w:pPr>
      <w:rPr>
        <w:rFonts w:hint="default"/>
        <w:lang w:val="ru-RU" w:eastAsia="ru-RU" w:bidi="ru-RU"/>
      </w:rPr>
    </w:lvl>
    <w:lvl w:ilvl="3" w:tplc="E1A29008">
      <w:numFmt w:val="bullet"/>
      <w:lvlText w:val="•"/>
      <w:lvlJc w:val="left"/>
      <w:pPr>
        <w:ind w:left="2939" w:hanging="188"/>
      </w:pPr>
      <w:rPr>
        <w:rFonts w:hint="default"/>
        <w:lang w:val="ru-RU" w:eastAsia="ru-RU" w:bidi="ru-RU"/>
      </w:rPr>
    </w:lvl>
    <w:lvl w:ilvl="4" w:tplc="FCE2223E">
      <w:numFmt w:val="bullet"/>
      <w:lvlText w:val="•"/>
      <w:lvlJc w:val="left"/>
      <w:pPr>
        <w:ind w:left="3885" w:hanging="188"/>
      </w:pPr>
      <w:rPr>
        <w:rFonts w:hint="default"/>
        <w:lang w:val="ru-RU" w:eastAsia="ru-RU" w:bidi="ru-RU"/>
      </w:rPr>
    </w:lvl>
    <w:lvl w:ilvl="5" w:tplc="136A143C">
      <w:numFmt w:val="bullet"/>
      <w:lvlText w:val="•"/>
      <w:lvlJc w:val="left"/>
      <w:pPr>
        <w:ind w:left="4832" w:hanging="188"/>
      </w:pPr>
      <w:rPr>
        <w:rFonts w:hint="default"/>
        <w:lang w:val="ru-RU" w:eastAsia="ru-RU" w:bidi="ru-RU"/>
      </w:rPr>
    </w:lvl>
    <w:lvl w:ilvl="6" w:tplc="BC1620A8">
      <w:numFmt w:val="bullet"/>
      <w:lvlText w:val="•"/>
      <w:lvlJc w:val="left"/>
      <w:pPr>
        <w:ind w:left="5778" w:hanging="188"/>
      </w:pPr>
      <w:rPr>
        <w:rFonts w:hint="default"/>
        <w:lang w:val="ru-RU" w:eastAsia="ru-RU" w:bidi="ru-RU"/>
      </w:rPr>
    </w:lvl>
    <w:lvl w:ilvl="7" w:tplc="5142CD06">
      <w:numFmt w:val="bullet"/>
      <w:lvlText w:val="•"/>
      <w:lvlJc w:val="left"/>
      <w:pPr>
        <w:ind w:left="6724" w:hanging="188"/>
      </w:pPr>
      <w:rPr>
        <w:rFonts w:hint="default"/>
        <w:lang w:val="ru-RU" w:eastAsia="ru-RU" w:bidi="ru-RU"/>
      </w:rPr>
    </w:lvl>
    <w:lvl w:ilvl="8" w:tplc="0EF882CC">
      <w:numFmt w:val="bullet"/>
      <w:lvlText w:val="•"/>
      <w:lvlJc w:val="left"/>
      <w:pPr>
        <w:ind w:left="7671" w:hanging="188"/>
      </w:pPr>
      <w:rPr>
        <w:rFonts w:hint="default"/>
        <w:lang w:val="ru-RU" w:eastAsia="ru-RU" w:bidi="ru-RU"/>
      </w:rPr>
    </w:lvl>
  </w:abstractNum>
  <w:abstractNum w:abstractNumId="2" w15:restartNumberingAfterBreak="0">
    <w:nsid w:val="39BB78E1"/>
    <w:multiLevelType w:val="hybridMultilevel"/>
    <w:tmpl w:val="236E7622"/>
    <w:lvl w:ilvl="0" w:tplc="54CA1B82">
      <w:numFmt w:val="bullet"/>
      <w:lvlText w:val=""/>
      <w:lvlJc w:val="left"/>
      <w:pPr>
        <w:ind w:left="526" w:hanging="42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A0653A0">
      <w:numFmt w:val="bullet"/>
      <w:lvlText w:val="•"/>
      <w:lvlJc w:val="left"/>
      <w:pPr>
        <w:ind w:left="1424" w:hanging="425"/>
      </w:pPr>
      <w:rPr>
        <w:rFonts w:hint="default"/>
        <w:lang w:val="ru-RU" w:eastAsia="ru-RU" w:bidi="ru-RU"/>
      </w:rPr>
    </w:lvl>
    <w:lvl w:ilvl="2" w:tplc="A0F446FE">
      <w:numFmt w:val="bullet"/>
      <w:lvlText w:val="•"/>
      <w:lvlJc w:val="left"/>
      <w:pPr>
        <w:ind w:left="2328" w:hanging="425"/>
      </w:pPr>
      <w:rPr>
        <w:rFonts w:hint="default"/>
        <w:lang w:val="ru-RU" w:eastAsia="ru-RU" w:bidi="ru-RU"/>
      </w:rPr>
    </w:lvl>
    <w:lvl w:ilvl="3" w:tplc="E2C439EC">
      <w:numFmt w:val="bullet"/>
      <w:lvlText w:val="•"/>
      <w:lvlJc w:val="left"/>
      <w:pPr>
        <w:ind w:left="3233" w:hanging="425"/>
      </w:pPr>
      <w:rPr>
        <w:rFonts w:hint="default"/>
        <w:lang w:val="ru-RU" w:eastAsia="ru-RU" w:bidi="ru-RU"/>
      </w:rPr>
    </w:lvl>
    <w:lvl w:ilvl="4" w:tplc="7B6A3246">
      <w:numFmt w:val="bullet"/>
      <w:lvlText w:val="•"/>
      <w:lvlJc w:val="left"/>
      <w:pPr>
        <w:ind w:left="4137" w:hanging="425"/>
      </w:pPr>
      <w:rPr>
        <w:rFonts w:hint="default"/>
        <w:lang w:val="ru-RU" w:eastAsia="ru-RU" w:bidi="ru-RU"/>
      </w:rPr>
    </w:lvl>
    <w:lvl w:ilvl="5" w:tplc="204091A0">
      <w:numFmt w:val="bullet"/>
      <w:lvlText w:val="•"/>
      <w:lvlJc w:val="left"/>
      <w:pPr>
        <w:ind w:left="5042" w:hanging="425"/>
      </w:pPr>
      <w:rPr>
        <w:rFonts w:hint="default"/>
        <w:lang w:val="ru-RU" w:eastAsia="ru-RU" w:bidi="ru-RU"/>
      </w:rPr>
    </w:lvl>
    <w:lvl w:ilvl="6" w:tplc="40B6F230">
      <w:numFmt w:val="bullet"/>
      <w:lvlText w:val="•"/>
      <w:lvlJc w:val="left"/>
      <w:pPr>
        <w:ind w:left="5946" w:hanging="425"/>
      </w:pPr>
      <w:rPr>
        <w:rFonts w:hint="default"/>
        <w:lang w:val="ru-RU" w:eastAsia="ru-RU" w:bidi="ru-RU"/>
      </w:rPr>
    </w:lvl>
    <w:lvl w:ilvl="7" w:tplc="DD7EBA28">
      <w:numFmt w:val="bullet"/>
      <w:lvlText w:val="•"/>
      <w:lvlJc w:val="left"/>
      <w:pPr>
        <w:ind w:left="6850" w:hanging="425"/>
      </w:pPr>
      <w:rPr>
        <w:rFonts w:hint="default"/>
        <w:lang w:val="ru-RU" w:eastAsia="ru-RU" w:bidi="ru-RU"/>
      </w:rPr>
    </w:lvl>
    <w:lvl w:ilvl="8" w:tplc="1CE84C94">
      <w:numFmt w:val="bullet"/>
      <w:lvlText w:val="•"/>
      <w:lvlJc w:val="left"/>
      <w:pPr>
        <w:ind w:left="7755" w:hanging="42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3"/>
    <w:rsid w:val="00013429"/>
    <w:rsid w:val="000225E7"/>
    <w:rsid w:val="00050782"/>
    <w:rsid w:val="000A1F5E"/>
    <w:rsid w:val="000C5FD4"/>
    <w:rsid w:val="000C74B2"/>
    <w:rsid w:val="000F63B5"/>
    <w:rsid w:val="00137CD0"/>
    <w:rsid w:val="001814A0"/>
    <w:rsid w:val="001A6E44"/>
    <w:rsid w:val="001C0511"/>
    <w:rsid w:val="001D2977"/>
    <w:rsid w:val="001E4BF3"/>
    <w:rsid w:val="001E6E9A"/>
    <w:rsid w:val="00206E6E"/>
    <w:rsid w:val="00233B04"/>
    <w:rsid w:val="002839D3"/>
    <w:rsid w:val="002A14A1"/>
    <w:rsid w:val="002A20A2"/>
    <w:rsid w:val="002E18A9"/>
    <w:rsid w:val="00316BEB"/>
    <w:rsid w:val="0032566D"/>
    <w:rsid w:val="0033769C"/>
    <w:rsid w:val="003602A3"/>
    <w:rsid w:val="00386E6E"/>
    <w:rsid w:val="00394102"/>
    <w:rsid w:val="003D58B1"/>
    <w:rsid w:val="003E6E38"/>
    <w:rsid w:val="004466E1"/>
    <w:rsid w:val="00454040"/>
    <w:rsid w:val="004B62AF"/>
    <w:rsid w:val="00524399"/>
    <w:rsid w:val="005244E7"/>
    <w:rsid w:val="0054020E"/>
    <w:rsid w:val="00545F33"/>
    <w:rsid w:val="005A09CF"/>
    <w:rsid w:val="005E3079"/>
    <w:rsid w:val="006172DA"/>
    <w:rsid w:val="006455B8"/>
    <w:rsid w:val="006B4DAE"/>
    <w:rsid w:val="006D342D"/>
    <w:rsid w:val="006E47CE"/>
    <w:rsid w:val="007441AC"/>
    <w:rsid w:val="0076265F"/>
    <w:rsid w:val="00795C55"/>
    <w:rsid w:val="007964C4"/>
    <w:rsid w:val="007D75F3"/>
    <w:rsid w:val="007F1943"/>
    <w:rsid w:val="008076B8"/>
    <w:rsid w:val="008153BD"/>
    <w:rsid w:val="008D4820"/>
    <w:rsid w:val="008D5A34"/>
    <w:rsid w:val="008F0397"/>
    <w:rsid w:val="008F7895"/>
    <w:rsid w:val="009231A5"/>
    <w:rsid w:val="00925EB5"/>
    <w:rsid w:val="00960B47"/>
    <w:rsid w:val="009A7D9E"/>
    <w:rsid w:val="009B702E"/>
    <w:rsid w:val="009F5E1E"/>
    <w:rsid w:val="00A259EB"/>
    <w:rsid w:val="00A4332F"/>
    <w:rsid w:val="00A71710"/>
    <w:rsid w:val="00A86307"/>
    <w:rsid w:val="00A9748A"/>
    <w:rsid w:val="00AB2ADA"/>
    <w:rsid w:val="00B41A17"/>
    <w:rsid w:val="00B61F1F"/>
    <w:rsid w:val="00B73088"/>
    <w:rsid w:val="00B77AE7"/>
    <w:rsid w:val="00BB06F8"/>
    <w:rsid w:val="00BB484D"/>
    <w:rsid w:val="00BB6A93"/>
    <w:rsid w:val="00BE63CD"/>
    <w:rsid w:val="00C36C07"/>
    <w:rsid w:val="00D30DE0"/>
    <w:rsid w:val="00D52FF6"/>
    <w:rsid w:val="00D63DB5"/>
    <w:rsid w:val="00D711FF"/>
    <w:rsid w:val="00DA0548"/>
    <w:rsid w:val="00DD5158"/>
    <w:rsid w:val="00E21D80"/>
    <w:rsid w:val="00E24220"/>
    <w:rsid w:val="00E64DDA"/>
    <w:rsid w:val="00E956D6"/>
    <w:rsid w:val="00EA4846"/>
    <w:rsid w:val="00F31F2F"/>
    <w:rsid w:val="00F36E82"/>
    <w:rsid w:val="00F4725F"/>
    <w:rsid w:val="00FB16F9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5F69F7"/>
  <w15:chartTrackingRefBased/>
  <w15:docId w15:val="{BFEBDDE2-D51F-4489-B88E-794420C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3CD"/>
    <w:pPr>
      <w:widowControl w:val="0"/>
      <w:autoSpaceDE w:val="0"/>
      <w:autoSpaceDN w:val="0"/>
      <w:spacing w:after="0" w:line="240" w:lineRule="auto"/>
      <w:ind w:left="651" w:hanging="552"/>
      <w:jc w:val="both"/>
      <w:outlineLvl w:val="0"/>
    </w:pPr>
    <w:rPr>
      <w:rFonts w:ascii="Times New Roman" w:eastAsia="Times New Roman" w:hAnsi="Times New Roman" w:cs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63CD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4">
    <w:name w:val="Body Text"/>
    <w:basedOn w:val="a"/>
    <w:link w:val="a5"/>
    <w:uiPriority w:val="1"/>
    <w:qFormat/>
    <w:rsid w:val="00BE63CD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b/>
      <w:bCs/>
      <w:i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E63CD"/>
    <w:rPr>
      <w:rFonts w:ascii="Times New Roman" w:eastAsia="Times New Roman" w:hAnsi="Times New Roman" w:cs="Times New Roman"/>
      <w:b/>
      <w:bCs/>
      <w:i/>
      <w:lang w:eastAsia="ru-RU" w:bidi="ru-RU"/>
    </w:rPr>
  </w:style>
  <w:style w:type="paragraph" w:styleId="a6">
    <w:name w:val="List Paragraph"/>
    <w:basedOn w:val="a"/>
    <w:uiPriority w:val="1"/>
    <w:qFormat/>
    <w:rsid w:val="00BE63CD"/>
    <w:pPr>
      <w:widowControl w:val="0"/>
      <w:autoSpaceDE w:val="0"/>
      <w:autoSpaceDN w:val="0"/>
      <w:spacing w:after="0" w:line="240" w:lineRule="auto"/>
      <w:ind w:left="231" w:hanging="129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56A3-391F-4383-8DCE-F166C236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Светлана Казакова</cp:lastModifiedBy>
  <cp:revision>4</cp:revision>
  <dcterms:created xsi:type="dcterms:W3CDTF">2020-08-20T12:09:00Z</dcterms:created>
  <dcterms:modified xsi:type="dcterms:W3CDTF">2020-08-20T12:21:00Z</dcterms:modified>
</cp:coreProperties>
</file>